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1200"/>
      </w:pPr>
    </w:p>
    <w:p>
      <w:pPr>
        <w:spacing w:after="300"/>
        <w:jc w:val="center"/>
      </w:pPr>
      <w:r>
        <w:rPr>
          <w:b/>
          <w:bCs/>
          <w:color w:val="0071C1"/>
          <w:sz w:val="44"/>
          <w:szCs w:val="44"/>
        </w:rPr>
        <w:t xml:space="preserve">Lib&amp;CO2 — Maisons de santé pluriprofessionnelles</w:t>
      </w:r>
    </w:p>
    <w:p>
      <w:pPr>
        <w:spacing w:after="600"/>
        <w:jc w:val="center"/>
      </w:pPr>
      <w:r>
        <w:rPr>
          <w:color w:val="1B2B26"/>
          <w:sz w:val="32"/>
          <w:szCs w:val="32"/>
        </w:rPr>
        <w:t xml:space="preserve">Notice méthodologique</w:t>
      </w:r>
    </w:p>
    <w:p>
      <w:pPr>
        <w:spacing w:after="1200"/>
        <w:jc w:val="center"/>
      </w:pPr>
      <w:r>
        <w:rPr>
          <w:i/>
          <w:iCs/>
          <w:color w:val="8A9490"/>
          <w:sz w:val="22"/>
          <w:szCs w:val="22"/>
        </w:rPr>
        <w:t xml:space="preserve">Périmètre, sources des facteurs d'émission, formules de calcul et limites assumées</w:t>
      </w:r>
    </w:p>
    <w:p>
      <w:pPr>
        <w:jc w:val="center"/>
      </w:pPr>
      <w:r>
        <w:rPr>
          <w:color w:val="8A9490"/>
          <w:sz w:val="18"/>
          <w:szCs w:val="18"/>
        </w:rPr>
        <w:t xml:space="preserve">Document généré le 26 août 2026 — à mettre à jour à chaque évolution méthodologique de l'outil.</w:t>
      </w:r>
    </w:p>
    <w:p>
      <w:r>
        <w:br w:type="page"/>
      </w:r>
    </w:p>
    <w:p>
      <w:pPr>
        <w:pStyle w:val="Heading1"/>
        <w:spacing w:after="200" w:before="400"/>
      </w:pPr>
      <w:r>
        <w:t xml:space="preserve">1. Vue d'ensemble et statut</w:t>
      </w:r>
    </w:p>
    <w:p>
      <w:pPr>
        <w:spacing w:after="150"/>
      </w:pPr>
      <w:r>
        <w:t xml:space="preserve">Lib&amp;CO2 MSP est un calculateur d'ordre de grandeur des émissions de gaz à effet de serre (GES) pour les maisons de santé pluriprofessionnelles (MSP). Il produit une empreinte carbone annuelle pour l'ensemble de la structure, une répartition par poste, un détail par praticien, et un ratio moyen en kgCO2e par acte.</w:t>
      </w:r>
    </w:p>
    <w:p>
      <w:pPr>
        <w:spacing w:after="150"/>
      </w:pPr>
      <w:r>
        <w:t xml:space="preserve">Statut : prototype d'ordre de grandeur, à visée pédagogique et d'aide à la décision interne. Ce n'est pas un bilan carbone réglementaire (BEGES) et il ne doit pas être présenté comme tel dans une communication externe ou une démarche de certification.</w:t>
      </w:r>
    </w:p>
    <w:p>
      <w:pPr>
        <w:spacing w:after="150"/>
      </w:pPr>
      <w:r>
        <w:t xml:space="preserve">L'outil généralise à un contexte pluriprofessionnel la méthodologie kinéCO2 (Romaric Maire / MyCO2, Carbone 4), initialement conçue pour les cabinets de kinésithérapie individuels, et s'appuie sur le référentiel GHG Protocol / Bilan Carbone® (BEGES v5). Le périmètre couvre principalement le scope 3, complété des scopes 1 et 2 pour l'énergie du local.</w:t>
      </w:r>
    </w:p>
    <w:p>
      <w:pPr>
        <w:pStyle w:val="Heading2"/>
        <w:spacing w:after="150" w:before="300"/>
      </w:pPr>
      <w:r>
        <w:t xml:space="preserve">1.1 Convention de sourcing</w:t>
      </w:r>
    </w:p>
    <w:p>
      <w:pPr>
        <w:pStyle w:val="ListParagraph"/>
        <w:numPr>
          <w:ilvl w:val="0"/>
          <w:numId w:val="1"/>
        </w:numPr>
        <w:spacing w:after="80"/>
      </w:pPr>
      <w:r>
        <w:t xml:space="preserve">SOURCÉ — valeur tracée jusqu'à une source identifiée : rapport kinéCO2, Base Carbone ADEME, données officielles CNAM/Ameli, INSEE, DREES, ou rapport The Shift Project.</w:t>
      </w:r>
    </w:p>
    <w:p>
      <w:pPr>
        <w:pStyle w:val="ListParagraph"/>
        <w:numPr>
          <w:ilvl w:val="0"/>
          <w:numId w:val="1"/>
        </w:numPr>
        <w:spacing w:after="80"/>
      </w:pPr>
      <w:r>
        <w:t xml:space="preserve">ESTIMÉ — pas de source directe ; le raisonnement (calcul, analogie, choix éditorial) est documenté plutôt que de prétendre à une source qui n'existe pas.</w:t>
      </w:r>
    </w:p>
    <w:p>
      <w:pPr>
        <w:spacing w:after="150"/>
      </w:pPr>
      <w:r>
        <w:t xml:space="preserve">Cette convention est appliquée à chaque facteur du présent document. Un statut SOURCÉ ne garantit pas l'exactitude absolue de la valeur (les sources elles-mêmes ont des marges d'incertitude, parfois importantes) ; il garantit seulement la traçabilité de son origine.</w:t>
      </w:r>
    </w:p>
    <w:p>
      <w:pPr>
        <w:pStyle w:val="Heading1"/>
        <w:spacing w:after="200" w:before="400"/>
      </w:pPr>
      <w:r>
        <w:t xml:space="preserve">2. Périmètre de l'outil</w:t>
      </w:r>
    </w:p>
    <w:p>
      <w:pPr>
        <w:pStyle w:val="Heading2"/>
        <w:spacing w:after="150" w:before="300"/>
      </w:pPr>
      <w:r>
        <w:t xml:space="preserve">2.1 Ce qui est couvert</w:t>
      </w:r>
    </w:p>
    <w:p>
      <w:pPr>
        <w:pStyle w:val="ListParagraph"/>
        <w:numPr>
          <w:ilvl w:val="0"/>
          <w:numId w:val="1"/>
        </w:numPr>
        <w:spacing w:after="80"/>
      </w:pPr>
      <w:r>
        <w:t xml:space="preserve">Local professionnel : énergie (chauffage + électricité) et carbone de construction du bâtiment, amorti.</w:t>
      </w:r>
    </w:p>
    <w:p>
      <w:pPr>
        <w:pStyle w:val="ListParagraph"/>
        <w:numPr>
          <w:ilvl w:val="0"/>
          <w:numId w:val="1"/>
        </w:numPr>
        <w:spacing w:after="80"/>
      </w:pPr>
      <w:r>
        <w:t xml:space="preserve">Déplacements de la patientèle vers la structure, ajustés par zone géographique et par motif de déplacement.</w:t>
      </w:r>
    </w:p>
    <w:p>
      <w:pPr>
        <w:pStyle w:val="ListParagraph"/>
        <w:numPr>
          <w:ilvl w:val="0"/>
          <w:numId w:val="1"/>
        </w:numPr>
        <w:spacing w:after="80"/>
      </w:pPr>
      <w:r>
        <w:t xml:space="preserve">Déplacements professionnels des praticiens et du staff administratif : domicile-travail, tournées à domicile, déplacements pour formation/congrès.</w:t>
      </w:r>
    </w:p>
    <w:p>
      <w:pPr>
        <w:pStyle w:val="ListParagraph"/>
        <w:numPr>
          <w:ilvl w:val="0"/>
          <w:numId w:val="1"/>
        </w:numPr>
        <w:spacing w:after="80"/>
      </w:pPr>
      <w:r>
        <w:t xml:space="preserve">Alimentation professionnelle (repas pris dans le cadre du travail).</w:t>
      </w:r>
    </w:p>
    <w:p>
      <w:pPr>
        <w:pStyle w:val="ListParagraph"/>
        <w:numPr>
          <w:ilvl w:val="0"/>
          <w:numId w:val="1"/>
        </w:numPr>
        <w:spacing w:after="80"/>
      </w:pPr>
      <w:r>
        <w:t xml:space="preserve">Prescriptions : médicaments (facteur monétaire) et actes paramédicaux externes à la structure (pour les professions prescriptrices).</w:t>
      </w:r>
    </w:p>
    <w:p>
      <w:pPr>
        <w:pStyle w:val="ListParagraph"/>
        <w:numPr>
          <w:ilvl w:val="0"/>
          <w:numId w:val="1"/>
        </w:numPr>
        <w:spacing w:after="80"/>
      </w:pPr>
      <w:r>
        <w:t xml:space="preserve">Immobilisations : numérique, matériel médical/technique, mobilier, à durée de détention déclarée par praticien ou mutualisée.</w:t>
      </w:r>
    </w:p>
    <w:p>
      <w:pPr>
        <w:pStyle w:val="ListParagraph"/>
        <w:numPr>
          <w:ilvl w:val="0"/>
          <w:numId w:val="1"/>
        </w:numPr>
        <w:spacing w:after="80"/>
      </w:pPr>
      <w:r>
        <w:t xml:space="preserve">Postes mutualisés de la structure : secrétariat/consommables, services (comptabilité, banque, assurance), fret/colis.</w:t>
      </w:r>
    </w:p>
    <w:p>
      <w:pPr>
        <w:pStyle w:val="Heading2"/>
        <w:spacing w:after="150" w:before="300"/>
      </w:pPr>
      <w:r>
        <w:t xml:space="preserve">2.2 Ce qui n'est pas couvert</w:t>
      </w:r>
    </w:p>
    <w:p>
      <w:pPr>
        <w:pStyle w:val="ListParagraph"/>
        <w:numPr>
          <w:ilvl w:val="0"/>
          <w:numId w:val="1"/>
        </w:numPr>
        <w:spacing w:after="80"/>
      </w:pPr>
      <w:r>
        <w:t xml:space="preserve">Les actes médicaux eux-mêmes (consommables de soin spécifiques à un acte donné, hors ligne "consommables courants" générique).</w:t>
      </w:r>
    </w:p>
    <w:p>
      <w:pPr>
        <w:pStyle w:val="ListParagraph"/>
        <w:numPr>
          <w:ilvl w:val="0"/>
          <w:numId w:val="1"/>
        </w:numPr>
        <w:spacing w:after="80"/>
      </w:pPr>
      <w:r>
        <w:t xml:space="preserve">Les émissions en amont de la fabrication des médicaments au-delà du facteur monétaire moyen (pas de distinction par classe thérapeutique).</w:t>
      </w:r>
    </w:p>
    <w:p>
      <w:pPr>
        <w:pStyle w:val="ListParagraph"/>
        <w:numPr>
          <w:ilvl w:val="0"/>
          <w:numId w:val="1"/>
        </w:numPr>
        <w:spacing w:after="80"/>
      </w:pPr>
      <w:r>
        <w:t xml:space="preserve">Les émissions des patients au-delà du trajet vers la structure (pas de prise en compte du reste de leur parcours de soin).</w:t>
      </w:r>
    </w:p>
    <w:p>
      <w:pPr>
        <w:pStyle w:val="ListParagraph"/>
        <w:numPr>
          <w:ilvl w:val="0"/>
          <w:numId w:val="1"/>
        </w:numPr>
        <w:spacing w:after="80"/>
      </w:pPr>
      <w:r>
        <w:t xml:space="preserve">Les emplois du temps réels jour par jour : les données sont saisies en moyennes annuelles déclaratives.</w:t>
      </w:r>
    </w:p>
    <w:p>
      <w:pPr>
        <w:pStyle w:val="Heading1"/>
        <w:spacing w:after="200" w:before="400"/>
      </w:pPr>
      <w:r>
        <w:t xml:space="preserve">3. Architecture du calcul</w:t>
      </w:r>
    </w:p>
    <w:p>
      <w:pPr>
        <w:spacing w:after="150"/>
      </w:pPr>
      <w:r>
        <w:t xml:space="preserve">Le bilan repose sur un parcours en 7 étapes : Profil de la structure → Local &amp; bâtiment → Praticiens → Staff administratif → Postes mutualisés → Résultats → Pistes d'action. Chaque praticien est saisi individuellement (profession, volume d'actes, déplacements propres, alimentation, prescriptions), ce qui permet un détail d'empreinte par praticien en plus du total de la structure.</w:t>
      </w:r>
    </w:p>
    <w:p>
      <w:pPr>
        <w:pStyle w:val="Heading2"/>
        <w:spacing w:after="150" w:before="300"/>
      </w:pPr>
      <w:r>
        <w:t xml:space="preserve">3.1 Réventilation du local</w:t>
      </w:r>
    </w:p>
    <w:p>
      <w:pPr>
        <w:spacing w:after="150"/>
      </w:pPr>
      <w:r>
        <w:t xml:space="preserve">Les émissions du local (énergie + bâtiment) sont réventilées entre praticiens et staff administratif au prorata de la surface dédiée déclarée par chacun. Le résidu (espaces communs non déclarés) est attribué au staff administratif. Un garde-fou alerte si la somme des surfaces déclarées dépasse la surface totale de la structure.</w:t>
      </w:r>
    </w:p>
    <w:p>
      <w:pPr>
        <w:pStyle w:val="Heading2"/>
        <w:spacing w:after="150" w:before="300"/>
      </w:pPr>
      <w:r>
        <w:t xml:space="preserve">3.2 Réventilation des postes mutualisés</w:t>
      </w:r>
    </w:p>
    <w:p>
      <w:pPr>
        <w:spacing w:after="150"/>
      </w:pPr>
      <w:r>
        <w:t xml:space="preserve">Les postes mutualisés (secrétariat, services, fret, matériel lourd partagé) sont réventilés au prorata des actes réalisés en cabinet uniquement (nombre d'actes annuel × part au lieu fixe), et non du total d'actes du praticien — un praticien qui exerce majoritairement à domicile pèse donc moins sur ces postes partagés que sur son propre poste de déplacements.</w:t>
      </w:r>
    </w:p>
    <w:p>
      <w:pPr>
        <w:pStyle w:val="Heading2"/>
        <w:spacing w:after="150" w:before="300"/>
      </w:pPr>
      <w:r>
        <w:t xml:space="preserve">3.3 Prescriptions — gestion du double comptage</w:t>
      </w:r>
    </w:p>
    <w:p>
      <w:pPr>
        <w:spacing w:after="150"/>
      </w:pPr>
      <w:r>
        <w:t xml:space="preserve">Seuls les actes paramédicaux prescrits et réalisés HORS de la structure sont comptabilisés dans le poste prescriptions. Les actes réalisés par un confrère au sein de la même MSP ne sont pas ajoutés une seconde fois, puisqu'ils sont déjà comptés dans le bilan propre de ce confrère. Le calcul se fait en deux passes : une première pour établir les ratios kgCO2e/acte de chaque profession, une seconde pour valoriser les actes externes prescrits sur la base de ces ratios.</w:t>
      </w:r>
    </w:p>
    <w:p>
      <w:pPr>
        <w:pStyle w:val="Heading2"/>
        <w:spacing w:after="150" w:before="300"/>
      </w:pPr>
      <w:r>
        <w:t xml:space="preserve">3.4 Cohérence garantie</w:t>
      </w:r>
    </w:p>
    <w:p>
      <w:pPr>
        <w:spacing w:after="150"/>
      </w:pPr>
      <w:r>
        <w:t xml:space="preserve">La somme des empreintes individuelles de tous les praticiens, plus l'empreinte du staff administratif, est strictement égale à l'empreinte totale de la structure — vérifié par construction du calcul, sans écart résiduel.</w:t>
      </w:r>
    </w:p>
    <w:p>
      <w:pPr>
        <w:pStyle w:val="Heading1"/>
        <w:spacing w:after="200" w:before="400"/>
      </w:pPr>
      <w:r>
        <w:t xml:space="preserve">4. Formules de calcul, poste par poste</w:t>
      </w:r>
    </w:p>
    <w:p>
      <w:pPr>
        <w:pStyle w:val="Heading2"/>
        <w:spacing w:after="150" w:before="300"/>
      </w:pPr>
      <w:r>
        <w:t xml:space="preserve">4.1 Local (énergie + bâtiment)</w:t>
      </w:r>
    </w:p>
    <w:p>
      <w:pPr>
        <w:spacing w:after="150"/>
      </w:pPr>
      <w:r>
        <w:rPr>
          <w:b/>
          <w:bCs/>
        </w:rPr>
        <w:t xml:space="preserve">Consommation énergétique (si non renseignée directement) :</w:t>
      </w:r>
    </w:p>
    <w:p>
      <w:pPr>
        <w:spacing w:after="150"/>
      </w:pPr>
      <w:r>
        <w:rPr>
          <w:rFonts w:ascii="Consolas" w:cs="Consolas" w:eastAsia="Consolas" w:hAnsi="Consolas"/>
          <w:i/>
          <w:iCs/>
        </w:rPr>
        <w:t xml:space="preserve">Élec (kWh) = Surface × ratio_élec[activité] ; Chauffage (kWh) = Surface × ratio_chauffage[activité]</w:t>
      </w:r>
    </w:p>
    <w:p>
      <w:pPr>
        <w:spacing w:after="150"/>
      </w:pPr>
      <w:r>
        <w:t xml:space="preserve">La MSP utilise la catégorie ADEME "Commerces" (103 kWh/m²/an chauffage, 130 élec) — choix éditorial retenu plutôt que la catégorie "Santé" du socle individuel.</w:t>
      </w:r>
    </w:p>
    <w:p>
      <w:pPr>
        <w:spacing w:after="150"/>
      </w:pPr>
      <w:r>
        <w:rPr>
          <w:b/>
          <w:bCs/>
        </w:rPr>
        <w:t xml:space="preserve">Bâtiment (carbone de construction, amorti) :</w:t>
      </w:r>
    </w:p>
    <w:p>
      <w:pPr>
        <w:spacing w:after="150"/>
      </w:pPr>
      <w:r>
        <w:rPr>
          <w:rFonts w:ascii="Consolas" w:cs="Consolas" w:eastAsia="Consolas" w:hAnsi="Consolas"/>
          <w:i/>
          <w:iCs/>
        </w:rPr>
        <w:t xml:space="preserve">Émissions/an = (Surface × 440 kgCO2e/m²) ÷ 30 ans, si l'âge du bâtiment est inférieur à la durée d'amortissement</w:t>
      </w:r>
    </w:p>
    <w:p>
      <w:pPr>
        <w:spacing w:after="150"/>
      </w:pPr>
      <w:r>
        <w:t xml:space="preserve">Une rénovation lourde (seuil : Surface × 275 €/m² de travaux) réinitialise l'année de référence pour l'amortissement.</w:t>
      </w:r>
    </w:p>
    <w:p>
      <w:pPr>
        <w:pStyle w:val="Heading2"/>
        <w:spacing w:after="150" w:before="300"/>
      </w:pPr>
      <w:r>
        <w:t xml:space="preserve">4.2 Déplacements patientèle</w:t>
      </w:r>
    </w:p>
    <w:p>
      <w:pPr>
        <w:spacing w:after="150"/>
      </w:pPr>
      <w:r>
        <w:rPr>
          <w:rFonts w:ascii="Consolas" w:cs="Consolas" w:eastAsia="Consolas" w:hAnsi="Consolas"/>
          <w:i/>
          <w:iCs/>
        </w:rPr>
        <w:t xml:space="preserve">Émissions = Nb actes au lieu fixe × Σ(distance ajustée par mode × facteur d'émission du mode) × coefficient de rareté APL</w:t>
      </w:r>
    </w:p>
    <w:p>
      <w:pPr>
        <w:spacing w:after="150"/>
      </w:pPr>
      <w:r>
        <w:t xml:space="preserve">La distance par zone géographique (12 zones, du rural isolé à Paris intra-muros) provient du Tableau 15 du rapport kinéCO2, basé sur l'Enquête Mobilité des Personnes 2019 (SDES). La répartition modale est ajustée par le motif de déplacement ("Autres motifs personnels" pour le secteur santé, faute d'un motif santé isolé dans l'EMP2019). Le coefficient de rareté APL pondère la distance selon la densité de l'offre de soins de la profession dans la commune (APL nationale ÷ APL communale), neutralisé à 1 si la profession n'est pas couverte par l'indicateur APL.</w:t>
      </w:r>
    </w:p>
    <w:p>
      <w:pPr>
        <w:pStyle w:val="Heading2"/>
        <w:spacing w:after="150" w:before="300"/>
      </w:pPr>
      <w:r>
        <w:t xml:space="preserve">4.3 Déplacements professionnels (domicile-travail, tournées, congrès)</w:t>
      </w:r>
    </w:p>
    <w:p>
      <w:pPr>
        <w:spacing w:after="150"/>
      </w:pPr>
      <w:r>
        <w:rPr>
          <w:rFonts w:ascii="Consolas" w:cs="Consolas" w:eastAsia="Consolas" w:hAnsi="Consolas"/>
          <w:i/>
          <w:iCs/>
        </w:rPr>
        <w:t xml:space="preserve">Émissions = Km annuels × [FE_usage(mode) + FE_fabrication(mode) ÷ durée de détention du véhicule]</w:t>
      </w:r>
    </w:p>
    <w:p>
      <w:pPr>
        <w:spacing w:after="150"/>
      </w:pPr>
      <w:r>
        <w:t xml:space="preserve">Contrairement au socle individuel (facteur combiné usage+fabrication par km), la MSP sépare usage et fabrication pour éviter un double comptage avec le poste immobilisations véhicule.</w:t>
      </w:r>
    </w:p>
    <w:p>
      <w:pPr>
        <w:pStyle w:val="Heading2"/>
        <w:spacing w:after="150" w:before="300"/>
      </w:pPr>
      <w:r>
        <w:t xml:space="preserve">4.4 Alimentation</w:t>
      </w:r>
    </w:p>
    <w:p>
      <w:pPr>
        <w:spacing w:after="150"/>
      </w:pPr>
      <w:r>
        <w:rPr>
          <w:rFonts w:ascii="Consolas" w:cs="Consolas" w:eastAsia="Consolas" w:hAnsi="Consolas"/>
          <w:i/>
          <w:iCs/>
        </w:rPr>
        <w:t xml:space="preserve">Émissions = (Repas végétariens × 1,40) + (Repas standards × 2,04) kgCO2e, sur la base de repas/semaine × semaines travaillées/an</w:t>
      </w:r>
    </w:p>
    <w:p>
      <w:pPr>
        <w:pStyle w:val="Heading2"/>
        <w:spacing w:after="150" w:before="300"/>
      </w:pPr>
      <w:r>
        <w:t xml:space="preserve">4.5 Prescriptions</w:t>
      </w:r>
    </w:p>
    <w:p>
      <w:pPr>
        <w:spacing w:after="150"/>
      </w:pPr>
      <w:r>
        <w:rPr>
          <w:rFonts w:ascii="Consolas" w:cs="Consolas" w:eastAsia="Consolas" w:hAnsi="Consolas"/>
          <w:i/>
          <w:iCs/>
        </w:rPr>
        <w:t xml:space="preserve">Médicaments : Émissions = Montant annuel prescrit (€) × 0,5 kgCO2e/€</w:t>
      </w:r>
    </w:p>
    <w:p>
      <w:pPr>
        <w:spacing w:after="150"/>
      </w:pPr>
      <w:r>
        <w:rPr>
          <w:rFonts w:ascii="Consolas" w:cs="Consolas" w:eastAsia="Consolas" w:hAnsi="Consolas"/>
          <w:i/>
          <w:iCs/>
        </w:rPr>
        <w:t xml:space="preserve">Actes paramédicaux externes : Émissions = Nb actes externes × ratio kgCO2e/acte de la profession référée (calculé en première passe)</w:t>
      </w:r>
    </w:p>
    <w:p>
      <w:pPr>
        <w:pStyle w:val="Heading2"/>
        <w:spacing w:after="150" w:before="300"/>
      </w:pPr>
      <w:r>
        <w:t xml:space="preserve">4.6 Immobilisations</w:t>
      </w:r>
    </w:p>
    <w:p>
      <w:pPr>
        <w:spacing w:after="150"/>
      </w:pPr>
      <w:r>
        <w:rPr>
          <w:rFonts w:ascii="Consolas" w:cs="Consolas" w:eastAsia="Consolas" w:hAnsi="Consolas"/>
          <w:i/>
          <w:iCs/>
        </w:rPr>
        <w:t xml:space="preserve">Émissions/an = (Quantité × facteur unitaire de fabrication) ÷ durée de détention déclarée</w:t>
      </w:r>
    </w:p>
    <w:p>
      <w:pPr>
        <w:spacing w:after="150"/>
      </w:pPr>
      <w:r>
        <w:t xml:space="preserve">Le numérique utilise des valeurs brutes de fabrication (non pré-amorties), permettant à l'utilisateur de déclarer sa propre durée de détention plutôt qu'un forfait fixe de 5 ans.</w:t>
      </w:r>
    </w:p>
    <w:p>
      <w:r>
        <w:br w:type="page"/>
      </w:r>
    </w:p>
    <w:p>
      <w:pPr>
        <w:pStyle w:val="Heading1"/>
        <w:spacing w:after="200" w:before="400"/>
      </w:pPr>
      <w:r>
        <w:t xml:space="preserve">5. Table complète des facteurs d'émission</w:t>
      </w:r>
    </w:p>
    <w:p>
      <w:pPr>
        <w:spacing w:after="150"/>
      </w:pPr>
      <w:r>
        <w:rPr>
          <w:i/>
          <w:iCs/>
        </w:rPr>
        <w:t xml:space="preserve">Sauf mention contraire, les facteurs "SOURCÉ Base Carbone" proviennent de la base Base Carbone® de l'ADEME, version V23.10. Lorsque plusieurs valeurs candidates existaient pour un même facteur (plusieurs variantes technologiques, plusieurs millésimes), la valeur retenue est systématiquement la plus élevée parmi les candidates disponibles — choix éditorial de prudence, explicité pour chaque facteur concerné.</w:t>
      </w:r>
    </w:p>
    <w:p>
      <w:pPr>
        <w:pStyle w:val="Heading2"/>
        <w:spacing w:after="150" w:before="300"/>
      </w:pPr>
      <w:r>
        <w:t xml:space="preserve">5.1 Transport (kgCO2e/km ou passager.km)</w:t>
      </w:r>
    </w:p>
    <w:tbl>
      <w:tblPr>
        <w:tblW w:type="dxa" w:w="9500"/>
        <w:tblBorders>
          <w:top w:val="single" w:color="auto" w:sz="4"/>
          <w:left w:val="single" w:color="auto" w:sz="4"/>
          <w:bottom w:val="single" w:color="auto" w:sz="4"/>
          <w:right w:val="single" w:color="auto" w:sz="4"/>
          <w:insideH w:val="single" w:color="auto" w:sz="4"/>
          <w:insideV w:val="single" w:color="auto" w:sz="4"/>
        </w:tblBorders>
      </w:tblPr>
      <w:tblGrid>
        <w:gridCol w:w="2200"/>
        <w:gridCol w:w="1100"/>
        <w:gridCol w:w="1200"/>
        <w:gridCol w:w="5000"/>
      </w:tblGrid>
      <w:tr>
        <w:tc>
          <w:tcPr>
            <w:tcW w:type="dxa" w:w="2200"/>
            <w:shd w:fill="0071C1" w:val="clear"/>
          </w:tcPr>
          <w:p>
            <w:r>
              <w:rPr>
                <w:b/>
                <w:bCs/>
                <w:color w:val="FFFFFF"/>
                <w:sz w:val="18"/>
                <w:szCs w:val="18"/>
              </w:rPr>
              <w:t xml:space="preserve">Mode</w:t>
            </w:r>
          </w:p>
        </w:tc>
        <w:tc>
          <w:tcPr>
            <w:tcW w:type="dxa" w:w="1100"/>
            <w:shd w:fill="0071C1" w:val="clear"/>
          </w:tcPr>
          <w:p>
            <w:r>
              <w:rPr>
                <w:b/>
                <w:bCs/>
                <w:color w:val="FFFFFF"/>
                <w:sz w:val="18"/>
                <w:szCs w:val="18"/>
              </w:rPr>
              <w:t xml:space="preserve">Valeur</w:t>
            </w:r>
          </w:p>
        </w:tc>
        <w:tc>
          <w:tcPr>
            <w:tcW w:type="dxa" w:w="1200"/>
            <w:shd w:fill="0071C1" w:val="clear"/>
          </w:tcPr>
          <w:p>
            <w:r>
              <w:rPr>
                <w:b/>
                <w:bCs/>
                <w:color w:val="FFFFFF"/>
                <w:sz w:val="18"/>
                <w:szCs w:val="18"/>
              </w:rPr>
              <w:t xml:space="preserve">Statut</w:t>
            </w:r>
          </w:p>
        </w:tc>
        <w:tc>
          <w:tcPr>
            <w:tcW w:type="dxa" w:w="5000"/>
            <w:shd w:fill="0071C1" w:val="clear"/>
          </w:tcPr>
          <w:p>
            <w:r>
              <w:rPr>
                <w:b/>
                <w:bCs/>
                <w:color w:val="FFFFFF"/>
                <w:sz w:val="18"/>
                <w:szCs w:val="18"/>
              </w:rPr>
              <w:t xml:space="preserve">Source / note</w:t>
            </w:r>
          </w:p>
        </w:tc>
      </w:tr>
      <w:tr>
        <w:tc>
          <w:tcPr>
            <w:tcW w:type="dxa" w:w="2200"/>
          </w:tcPr>
          <w:p>
            <w:r>
              <w:rPr>
                <w:sz w:val="18"/>
                <w:szCs w:val="18"/>
              </w:rPr>
              <w:t xml:space="preserve">Voiture thermique (usage)</w:t>
            </w:r>
          </w:p>
        </w:tc>
        <w:tc>
          <w:tcPr>
            <w:tcW w:type="dxa" w:w="1100"/>
          </w:tcPr>
          <w:p>
            <w:r>
              <w:rPr>
                <w:sz w:val="18"/>
                <w:szCs w:val="18"/>
              </w:rPr>
              <w:t xml:space="preserve">0,208</w:t>
            </w:r>
          </w:p>
        </w:tc>
        <w:tc>
          <w:tcPr>
            <w:tcW w:type="dxa" w:w="1200"/>
          </w:tcPr>
          <w:p>
            <w:r>
              <w:rPr>
                <w:sz w:val="18"/>
                <w:szCs w:val="18"/>
              </w:rPr>
              <w:t xml:space="preserve">SOURCÉ</w:t>
            </w:r>
          </w:p>
        </w:tc>
        <w:tc>
          <w:tcPr>
            <w:tcW w:type="dxa" w:w="5000"/>
          </w:tcPr>
          <w:p>
            <w:r>
              <w:rPr>
                <w:sz w:val="18"/>
                <w:szCs w:val="18"/>
              </w:rPr>
              <w:t xml:space="preserve">Base Carbone V23.10, "Voiture", 2023</w:t>
            </w:r>
          </w:p>
        </w:tc>
      </w:tr>
      <w:tr>
        <w:tc>
          <w:tcPr>
            <w:tcW w:type="dxa" w:w="2200"/>
          </w:tcPr>
          <w:p>
            <w:r>
              <w:rPr>
                <w:sz w:val="18"/>
                <w:szCs w:val="18"/>
              </w:rPr>
              <w:t xml:space="preserve">Voiture thermique (fabrication)</w:t>
            </w:r>
          </w:p>
        </w:tc>
        <w:tc>
          <w:tcPr>
            <w:tcW w:type="dxa" w:w="1100"/>
          </w:tcPr>
          <w:p>
            <w:r>
              <w:rPr>
                <w:sz w:val="18"/>
                <w:szCs w:val="18"/>
              </w:rPr>
              <w:t xml:space="preserve">0,041</w:t>
            </w:r>
          </w:p>
        </w:tc>
        <w:tc>
          <w:tcPr>
            <w:tcW w:type="dxa" w:w="1200"/>
          </w:tcPr>
          <w:p>
            <w:r>
              <w:rPr>
                <w:sz w:val="18"/>
                <w:szCs w:val="18"/>
              </w:rPr>
              <w:t xml:space="preserve">SOURCÉ</w:t>
            </w:r>
          </w:p>
        </w:tc>
        <w:tc>
          <w:tcPr>
            <w:tcW w:type="dxa" w:w="5000"/>
          </w:tcPr>
          <w:p>
            <w:r>
              <w:rPr>
                <w:sz w:val="18"/>
                <w:szCs w:val="18"/>
              </w:rPr>
              <w:t xml:space="preserve">Base Carbone V23.10, moyenne des 4 variantes</w:t>
            </w:r>
          </w:p>
        </w:tc>
      </w:tr>
      <w:tr>
        <w:tc>
          <w:tcPr>
            <w:tcW w:type="dxa" w:w="2200"/>
          </w:tcPr>
          <w:p>
            <w:r>
              <w:rPr>
                <w:sz w:val="18"/>
                <w:szCs w:val="18"/>
              </w:rPr>
              <w:t xml:space="preserve">Voiture électrique (usage)</w:t>
            </w:r>
          </w:p>
        </w:tc>
        <w:tc>
          <w:tcPr>
            <w:tcW w:type="dxa" w:w="1100"/>
          </w:tcPr>
          <w:p>
            <w:r>
              <w:rPr>
                <w:sz w:val="18"/>
                <w:szCs w:val="18"/>
              </w:rPr>
              <w:t xml:space="preserve">0,020</w:t>
            </w:r>
          </w:p>
        </w:tc>
        <w:tc>
          <w:tcPr>
            <w:tcW w:type="dxa" w:w="1200"/>
          </w:tcPr>
          <w:p>
            <w:r>
              <w:rPr>
                <w:sz w:val="18"/>
                <w:szCs w:val="18"/>
              </w:rPr>
              <w:t xml:space="preserve">SOURCÉ</w:t>
            </w:r>
          </w:p>
        </w:tc>
        <w:tc>
          <w:tcPr>
            <w:tcW w:type="dxa" w:w="5000"/>
          </w:tcPr>
          <w:p>
            <w:r>
              <w:rPr>
                <w:sz w:val="18"/>
                <w:szCs w:val="18"/>
              </w:rPr>
              <w:t xml:space="preserve">Base Carbone V23.10</w:t>
            </w:r>
          </w:p>
        </w:tc>
      </w:tr>
      <w:tr>
        <w:tc>
          <w:tcPr>
            <w:tcW w:type="dxa" w:w="2200"/>
          </w:tcPr>
          <w:p>
            <w:r>
              <w:rPr>
                <w:sz w:val="18"/>
                <w:szCs w:val="18"/>
              </w:rPr>
              <w:t xml:space="preserve">Voiture électrique (fabrication)</w:t>
            </w:r>
          </w:p>
        </w:tc>
        <w:tc>
          <w:tcPr>
            <w:tcW w:type="dxa" w:w="1100"/>
          </w:tcPr>
          <w:p>
            <w:r>
              <w:rPr>
                <w:sz w:val="18"/>
                <w:szCs w:val="18"/>
              </w:rPr>
              <w:t xml:space="preserve">0,084</w:t>
            </w:r>
          </w:p>
        </w:tc>
        <w:tc>
          <w:tcPr>
            <w:tcW w:type="dxa" w:w="1200"/>
          </w:tcPr>
          <w:p>
            <w:r>
              <w:rPr>
                <w:sz w:val="18"/>
                <w:szCs w:val="18"/>
              </w:rPr>
              <w:t xml:space="preserve">SOURCÉ</w:t>
            </w:r>
          </w:p>
        </w:tc>
        <w:tc>
          <w:tcPr>
            <w:tcW w:type="dxa" w:w="5000"/>
          </w:tcPr>
          <w:p>
            <w:r>
              <w:rPr>
                <w:sz w:val="18"/>
                <w:szCs w:val="18"/>
              </w:rPr>
              <w:t xml:space="preserve">Base Carbone V23.10</w:t>
            </w:r>
          </w:p>
        </w:tc>
      </w:tr>
      <w:tr>
        <w:tc>
          <w:tcPr>
            <w:tcW w:type="dxa" w:w="2200"/>
          </w:tcPr>
          <w:p>
            <w:r>
              <w:rPr>
                <w:sz w:val="18"/>
                <w:szCs w:val="18"/>
              </w:rPr>
              <w:t xml:space="preserve">Voiture hybride (usage)</w:t>
            </w:r>
          </w:p>
        </w:tc>
        <w:tc>
          <w:tcPr>
            <w:tcW w:type="dxa" w:w="1100"/>
          </w:tcPr>
          <w:p>
            <w:r>
              <w:rPr>
                <w:sz w:val="18"/>
                <w:szCs w:val="18"/>
              </w:rPr>
              <w:t xml:space="preserve">0,121</w:t>
            </w:r>
          </w:p>
        </w:tc>
        <w:tc>
          <w:tcPr>
            <w:tcW w:type="dxa" w:w="1200"/>
          </w:tcPr>
          <w:p>
            <w:r>
              <w:rPr>
                <w:sz w:val="18"/>
                <w:szCs w:val="18"/>
              </w:rPr>
              <w:t xml:space="preserve">ESTIMÉ</w:t>
            </w:r>
          </w:p>
        </w:tc>
        <w:tc>
          <w:tcPr>
            <w:tcW w:type="dxa" w:w="5000"/>
          </w:tcPr>
          <w:p>
            <w:r>
              <w:rPr>
                <w:sz w:val="18"/>
                <w:szCs w:val="18"/>
              </w:rPr>
              <w:t xml:space="preserve">Pas de facteur ADEME dédié ; interpolation thermique/électrique</w:t>
            </w:r>
          </w:p>
        </w:tc>
      </w:tr>
      <w:tr>
        <w:tc>
          <w:tcPr>
            <w:tcW w:type="dxa" w:w="2200"/>
          </w:tcPr>
          <w:p>
            <w:r>
              <w:rPr>
                <w:sz w:val="18"/>
                <w:szCs w:val="18"/>
              </w:rPr>
              <w:t xml:space="preserve">Deux-roues motorisé</w:t>
            </w:r>
          </w:p>
        </w:tc>
        <w:tc>
          <w:tcPr>
            <w:tcW w:type="dxa" w:w="1100"/>
          </w:tcPr>
          <w:p>
            <w:r>
              <w:rPr>
                <w:sz w:val="18"/>
                <w:szCs w:val="18"/>
              </w:rPr>
              <w:t xml:space="preserve">0,087</w:t>
            </w:r>
          </w:p>
        </w:tc>
        <w:tc>
          <w:tcPr>
            <w:tcW w:type="dxa" w:w="1200"/>
          </w:tcPr>
          <w:p>
            <w:r>
              <w:rPr>
                <w:sz w:val="18"/>
                <w:szCs w:val="18"/>
              </w:rPr>
              <w:t xml:space="preserve">SOURCÉ</w:t>
            </w:r>
          </w:p>
        </w:tc>
        <w:tc>
          <w:tcPr>
            <w:tcW w:type="dxa" w:w="5000"/>
          </w:tcPr>
          <w:p>
            <w:r>
              <w:rPr>
                <w:sz w:val="18"/>
                <w:szCs w:val="18"/>
              </w:rPr>
              <w:t xml:space="preserve">Base Carbone V23.10, Moto ≤250cm3, id 43779</w:t>
            </w:r>
          </w:p>
        </w:tc>
      </w:tr>
      <w:tr>
        <w:tc>
          <w:tcPr>
            <w:tcW w:type="dxa" w:w="2200"/>
          </w:tcPr>
          <w:p>
            <w:r>
              <w:rPr>
                <w:sz w:val="18"/>
                <w:szCs w:val="18"/>
              </w:rPr>
              <w:t xml:space="preserve">Vélo (mécanique)</w:t>
            </w:r>
          </w:p>
        </w:tc>
        <w:tc>
          <w:tcPr>
            <w:tcW w:type="dxa" w:w="1100"/>
          </w:tcPr>
          <w:p>
            <w:r>
              <w:rPr>
                <w:sz w:val="18"/>
                <w:szCs w:val="18"/>
              </w:rPr>
              <w:t xml:space="preserve">0,005</w:t>
            </w:r>
          </w:p>
        </w:tc>
        <w:tc>
          <w:tcPr>
            <w:tcW w:type="dxa" w:w="1200"/>
          </w:tcPr>
          <w:p>
            <w:r>
              <w:rPr>
                <w:sz w:val="18"/>
                <w:szCs w:val="18"/>
              </w:rPr>
              <w:t xml:space="preserve">SOURCÉ</w:t>
            </w:r>
          </w:p>
        </w:tc>
        <w:tc>
          <w:tcPr>
            <w:tcW w:type="dxa" w:w="5000"/>
          </w:tcPr>
          <w:p>
            <w:r>
              <w:rPr>
                <w:sz w:val="18"/>
                <w:szCs w:val="18"/>
              </w:rPr>
              <w:t xml:space="preserve">Rapport kinéCO2, fabrication amortie</w:t>
            </w:r>
          </w:p>
        </w:tc>
      </w:tr>
      <w:tr>
        <w:tc>
          <w:tcPr>
            <w:tcW w:type="dxa" w:w="2200"/>
          </w:tcPr>
          <w:p>
            <w:r>
              <w:rPr>
                <w:sz w:val="18"/>
                <w:szCs w:val="18"/>
              </w:rPr>
              <w:t xml:space="preserve">Vélo à assistance électrique</w:t>
            </w:r>
          </w:p>
        </w:tc>
        <w:tc>
          <w:tcPr>
            <w:tcW w:type="dxa" w:w="1100"/>
          </w:tcPr>
          <w:p>
            <w:r>
              <w:rPr>
                <w:sz w:val="18"/>
                <w:szCs w:val="18"/>
              </w:rPr>
              <w:t xml:space="preserve">0,011</w:t>
            </w:r>
          </w:p>
        </w:tc>
        <w:tc>
          <w:tcPr>
            <w:tcW w:type="dxa" w:w="1200"/>
          </w:tcPr>
          <w:p>
            <w:r>
              <w:rPr>
                <w:sz w:val="18"/>
                <w:szCs w:val="18"/>
              </w:rPr>
              <w:t xml:space="preserve">SOURCÉ</w:t>
            </w:r>
          </w:p>
        </w:tc>
        <w:tc>
          <w:tcPr>
            <w:tcW w:type="dxa" w:w="5000"/>
          </w:tcPr>
          <w:p>
            <w:r>
              <w:rPr>
                <w:sz w:val="18"/>
                <w:szCs w:val="18"/>
              </w:rPr>
              <w:t xml:space="preserve">Rapport kinéCO2</w:t>
            </w:r>
          </w:p>
        </w:tc>
      </w:tr>
      <w:tr>
        <w:tc>
          <w:tcPr>
            <w:tcW w:type="dxa" w:w="2200"/>
          </w:tcPr>
          <w:p>
            <w:r>
              <w:rPr>
                <w:sz w:val="18"/>
                <w:szCs w:val="18"/>
              </w:rPr>
              <w:t xml:space="preserve">Bus urbain</w:t>
            </w:r>
          </w:p>
        </w:tc>
        <w:tc>
          <w:tcPr>
            <w:tcW w:type="dxa" w:w="1100"/>
          </w:tcPr>
          <w:p>
            <w:r>
              <w:rPr>
                <w:sz w:val="18"/>
                <w:szCs w:val="18"/>
              </w:rPr>
              <w:t xml:space="preserve">0,122</w:t>
            </w:r>
          </w:p>
        </w:tc>
        <w:tc>
          <w:tcPr>
            <w:tcW w:type="dxa" w:w="1200"/>
          </w:tcPr>
          <w:p>
            <w:r>
              <w:rPr>
                <w:sz w:val="18"/>
                <w:szCs w:val="18"/>
              </w:rPr>
              <w:t xml:space="preserve">SOURCÉ</w:t>
            </w:r>
          </w:p>
        </w:tc>
        <w:tc>
          <w:tcPr>
            <w:tcW w:type="dxa" w:w="5000"/>
          </w:tcPr>
          <w:p>
            <w:r>
              <w:rPr>
                <w:sz w:val="18"/>
                <w:szCs w:val="18"/>
              </w:rPr>
              <w:t xml:space="preserve">Base Carbone V23.10, "Autobus, Gazole", id 43739 — valeur la plus élevée parmi les motorisations</w:t>
            </w:r>
          </w:p>
        </w:tc>
      </w:tr>
      <w:tr>
        <w:tc>
          <w:tcPr>
            <w:tcW w:type="dxa" w:w="2200"/>
          </w:tcPr>
          <w:p>
            <w:r>
              <w:rPr>
                <w:sz w:val="18"/>
                <w:szCs w:val="18"/>
              </w:rPr>
              <w:t xml:space="preserve">Métro / Tramway</w:t>
            </w:r>
          </w:p>
        </w:tc>
        <w:tc>
          <w:tcPr>
            <w:tcW w:type="dxa" w:w="1100"/>
          </w:tcPr>
          <w:p>
            <w:r>
              <w:rPr>
                <w:sz w:val="18"/>
                <w:szCs w:val="18"/>
              </w:rPr>
              <w:t xml:space="preserve">0,005</w:t>
            </w:r>
          </w:p>
        </w:tc>
        <w:tc>
          <w:tcPr>
            <w:tcW w:type="dxa" w:w="1200"/>
          </w:tcPr>
          <w:p>
            <w:r>
              <w:rPr>
                <w:sz w:val="18"/>
                <w:szCs w:val="18"/>
              </w:rPr>
              <w:t xml:space="preserve">SOURCÉ</w:t>
            </w:r>
          </w:p>
        </w:tc>
        <w:tc>
          <w:tcPr>
            <w:tcW w:type="dxa" w:w="5000"/>
          </w:tcPr>
          <w:p>
            <w:r>
              <w:rPr>
                <w:sz w:val="18"/>
                <w:szCs w:val="18"/>
              </w:rPr>
              <w:t xml:space="preserve">Rapport kinéCO2</w:t>
            </w:r>
          </w:p>
        </w:tc>
      </w:tr>
      <w:tr>
        <w:tc>
          <w:tcPr>
            <w:tcW w:type="dxa" w:w="2200"/>
          </w:tcPr>
          <w:p>
            <w:r>
              <w:rPr>
                <w:sz w:val="18"/>
                <w:szCs w:val="18"/>
              </w:rPr>
              <w:t xml:space="preserve">RER / TER</w:t>
            </w:r>
          </w:p>
        </w:tc>
        <w:tc>
          <w:tcPr>
            <w:tcW w:type="dxa" w:w="1100"/>
          </w:tcPr>
          <w:p>
            <w:r>
              <w:rPr>
                <w:sz w:val="18"/>
                <w:szCs w:val="18"/>
              </w:rPr>
              <w:t xml:space="preserve">0,0313</w:t>
            </w:r>
          </w:p>
        </w:tc>
        <w:tc>
          <w:tcPr>
            <w:tcW w:type="dxa" w:w="1200"/>
          </w:tcPr>
          <w:p>
            <w:r>
              <w:rPr>
                <w:sz w:val="18"/>
                <w:szCs w:val="18"/>
              </w:rPr>
              <w:t xml:space="preserve">SOURCÉ</w:t>
            </w:r>
          </w:p>
        </w:tc>
        <w:tc>
          <w:tcPr>
            <w:tcW w:type="dxa" w:w="5000"/>
          </w:tcPr>
          <w:p>
            <w:r>
              <w:rPr>
                <w:sz w:val="18"/>
                <w:szCs w:val="18"/>
              </w:rPr>
              <w:t xml:space="preserve">Base Carbone V23.10, "TER 2018", id 28154</w:t>
            </w:r>
          </w:p>
        </w:tc>
      </w:tr>
      <w:tr>
        <w:tc>
          <w:tcPr>
            <w:tcW w:type="dxa" w:w="2200"/>
          </w:tcPr>
          <w:p>
            <w:r>
              <w:rPr>
                <w:sz w:val="18"/>
                <w:szCs w:val="18"/>
              </w:rPr>
              <w:t xml:space="preserve">TGV / grande ligne</w:t>
            </w:r>
          </w:p>
        </w:tc>
        <w:tc>
          <w:tcPr>
            <w:tcW w:type="dxa" w:w="1100"/>
          </w:tcPr>
          <w:p>
            <w:r>
              <w:rPr>
                <w:sz w:val="18"/>
                <w:szCs w:val="18"/>
              </w:rPr>
              <w:t xml:space="preserve">0,003</w:t>
            </w:r>
          </w:p>
        </w:tc>
        <w:tc>
          <w:tcPr>
            <w:tcW w:type="dxa" w:w="1200"/>
          </w:tcPr>
          <w:p>
            <w:r>
              <w:rPr>
                <w:sz w:val="18"/>
                <w:szCs w:val="18"/>
              </w:rPr>
              <w:t xml:space="preserve">SOURCÉ</w:t>
            </w:r>
          </w:p>
        </w:tc>
        <w:tc>
          <w:tcPr>
            <w:tcW w:type="dxa" w:w="5000"/>
          </w:tcPr>
          <w:p>
            <w:r>
              <w:rPr>
                <w:sz w:val="18"/>
                <w:szCs w:val="18"/>
              </w:rPr>
              <w:t xml:space="preserve">Rapport kinéCO2</w:t>
            </w:r>
          </w:p>
        </w:tc>
      </w:tr>
      <w:tr>
        <w:tc>
          <w:tcPr>
            <w:tcW w:type="dxa" w:w="2200"/>
          </w:tcPr>
          <w:p>
            <w:r>
              <w:rPr>
                <w:sz w:val="18"/>
                <w:szCs w:val="18"/>
              </w:rPr>
              <w:t xml:space="preserve">Marche à pied</w:t>
            </w:r>
          </w:p>
        </w:tc>
        <w:tc>
          <w:tcPr>
            <w:tcW w:type="dxa" w:w="1100"/>
          </w:tcPr>
          <w:p>
            <w:r>
              <w:rPr>
                <w:sz w:val="18"/>
                <w:szCs w:val="18"/>
              </w:rPr>
              <w:t xml:space="preserve">0</w:t>
            </w:r>
          </w:p>
        </w:tc>
        <w:tc>
          <w:tcPr>
            <w:tcW w:type="dxa" w:w="1200"/>
          </w:tcPr>
          <w:p>
            <w:r>
              <w:rPr>
                <w:sz w:val="18"/>
                <w:szCs w:val="18"/>
              </w:rPr>
              <w:t xml:space="preserve">SOURCÉ</w:t>
            </w:r>
          </w:p>
        </w:tc>
        <w:tc>
          <w:tcPr>
            <w:tcW w:type="dxa" w:w="5000"/>
          </w:tcPr>
          <w:p>
            <w:r>
              <w:rPr>
                <w:sz w:val="18"/>
                <w:szCs w:val="18"/>
              </w:rPr>
              <w:t xml:space="preserve">Négligeable par construction</w:t>
            </w:r>
          </w:p>
        </w:tc>
      </w:tr>
      <w:tr>
        <w:tc>
          <w:tcPr>
            <w:tcW w:type="dxa" w:w="2200"/>
          </w:tcPr>
          <w:p>
            <w:r>
              <w:rPr>
                <w:sz w:val="18"/>
                <w:szCs w:val="18"/>
              </w:rPr>
              <w:t xml:space="preserve">Avion court-courrier (&lt;1000km)</w:t>
            </w:r>
          </w:p>
        </w:tc>
        <w:tc>
          <w:tcPr>
            <w:tcW w:type="dxa" w:w="1100"/>
          </w:tcPr>
          <w:p>
            <w:r>
              <w:rPr>
                <w:sz w:val="18"/>
                <w:szCs w:val="18"/>
              </w:rPr>
              <w:t xml:space="preserve">0,424</w:t>
            </w:r>
          </w:p>
        </w:tc>
        <w:tc>
          <w:tcPr>
            <w:tcW w:type="dxa" w:w="1200"/>
          </w:tcPr>
          <w:p>
            <w:r>
              <w:rPr>
                <w:sz w:val="18"/>
                <w:szCs w:val="18"/>
              </w:rPr>
              <w:t xml:space="preserve">SOURCÉ</w:t>
            </w:r>
          </w:p>
        </w:tc>
        <w:tc>
          <w:tcPr>
            <w:tcW w:type="dxa" w:w="5000"/>
          </w:tcPr>
          <w:p>
            <w:r>
              <w:rPr>
                <w:sz w:val="18"/>
                <w:szCs w:val="18"/>
              </w:rPr>
              <w:t xml:space="preserve">Base Carbone V23.10, avec traînées, 2023, id 48810</w:t>
            </w:r>
          </w:p>
        </w:tc>
      </w:tr>
      <w:tr>
        <w:tc>
          <w:tcPr>
            <w:tcW w:type="dxa" w:w="2200"/>
          </w:tcPr>
          <w:p>
            <w:r>
              <w:rPr>
                <w:sz w:val="18"/>
                <w:szCs w:val="18"/>
              </w:rPr>
              <w:t xml:space="preserve">Avion moyen-courrier</w:t>
            </w:r>
          </w:p>
        </w:tc>
        <w:tc>
          <w:tcPr>
            <w:tcW w:type="dxa" w:w="1100"/>
          </w:tcPr>
          <w:p>
            <w:r>
              <w:rPr>
                <w:sz w:val="18"/>
                <w:szCs w:val="18"/>
              </w:rPr>
              <w:t xml:space="preserve">0,166</w:t>
            </w:r>
          </w:p>
        </w:tc>
        <w:tc>
          <w:tcPr>
            <w:tcW w:type="dxa" w:w="1200"/>
          </w:tcPr>
          <w:p>
            <w:r>
              <w:rPr>
                <w:sz w:val="18"/>
                <w:szCs w:val="18"/>
              </w:rPr>
              <w:t xml:space="preserve">SOURCÉ</w:t>
            </w:r>
          </w:p>
        </w:tc>
        <w:tc>
          <w:tcPr>
            <w:tcW w:type="dxa" w:w="5000"/>
          </w:tcPr>
          <w:p>
            <w:r>
              <w:rPr>
                <w:sz w:val="18"/>
                <w:szCs w:val="18"/>
              </w:rPr>
              <w:t xml:space="preserve">Base Carbone V23.10, avec traînées, 2023, id 48814</w:t>
            </w:r>
          </w:p>
        </w:tc>
      </w:tr>
      <w:tr>
        <w:tc>
          <w:tcPr>
            <w:tcW w:type="dxa" w:w="2200"/>
          </w:tcPr>
          <w:p>
            <w:r>
              <w:rPr>
                <w:sz w:val="18"/>
                <w:szCs w:val="18"/>
              </w:rPr>
              <w:t xml:space="preserve">Avion long-courrier</w:t>
            </w:r>
          </w:p>
        </w:tc>
        <w:tc>
          <w:tcPr>
            <w:tcW w:type="dxa" w:w="1100"/>
          </w:tcPr>
          <w:p>
            <w:r>
              <w:rPr>
                <w:sz w:val="18"/>
                <w:szCs w:val="18"/>
              </w:rPr>
              <w:t xml:space="preserve">0,358</w:t>
            </w:r>
          </w:p>
        </w:tc>
        <w:tc>
          <w:tcPr>
            <w:tcW w:type="dxa" w:w="1200"/>
          </w:tcPr>
          <w:p>
            <w:r>
              <w:rPr>
                <w:sz w:val="18"/>
                <w:szCs w:val="18"/>
              </w:rPr>
              <w:t xml:space="preserve">SOURCÉ</w:t>
            </w:r>
          </w:p>
        </w:tc>
        <w:tc>
          <w:tcPr>
            <w:tcW w:type="dxa" w:w="5000"/>
          </w:tcPr>
          <w:p>
            <w:r>
              <w:rPr>
                <w:sz w:val="18"/>
                <w:szCs w:val="18"/>
              </w:rPr>
              <w:t xml:space="preserve">Base Carbone V23.10, avec traînées, 2023, id 48812</w:t>
            </w:r>
          </w:p>
        </w:tc>
      </w:tr>
    </w:tbl>
    <w:p>
      <w:pPr>
        <w:pStyle w:val="Heading2"/>
        <w:spacing w:after="150" w:before="300"/>
      </w:pPr>
      <w:r>
        <w:t xml:space="preserve">5.2 Énergie (kgCO2e/kWh)</w:t>
      </w:r>
    </w:p>
    <w:tbl>
      <w:tblPr>
        <w:tblW w:type="dxa" w:w="9500"/>
        <w:tblBorders>
          <w:top w:val="single" w:color="auto" w:sz="4"/>
          <w:left w:val="single" w:color="auto" w:sz="4"/>
          <w:bottom w:val="single" w:color="auto" w:sz="4"/>
          <w:right w:val="single" w:color="auto" w:sz="4"/>
          <w:insideH w:val="single" w:color="auto" w:sz="4"/>
          <w:insideV w:val="single" w:color="auto" w:sz="4"/>
        </w:tblBorders>
      </w:tblPr>
      <w:tblGrid>
        <w:gridCol w:w="2200"/>
        <w:gridCol w:w="1100"/>
        <w:gridCol w:w="1200"/>
        <w:gridCol w:w="5000"/>
      </w:tblGrid>
      <w:tr>
        <w:tc>
          <w:tcPr>
            <w:tcW w:type="dxa" w:w="2200"/>
            <w:shd w:fill="0071C1" w:val="clear"/>
          </w:tcPr>
          <w:p>
            <w:r>
              <w:rPr>
                <w:b/>
                <w:bCs/>
                <w:color w:val="FFFFFF"/>
                <w:sz w:val="18"/>
                <w:szCs w:val="18"/>
              </w:rPr>
              <w:t xml:space="preserve">Énergie</w:t>
            </w:r>
          </w:p>
        </w:tc>
        <w:tc>
          <w:tcPr>
            <w:tcW w:type="dxa" w:w="1100"/>
            <w:shd w:fill="0071C1" w:val="clear"/>
          </w:tcPr>
          <w:p>
            <w:r>
              <w:rPr>
                <w:b/>
                <w:bCs/>
                <w:color w:val="FFFFFF"/>
                <w:sz w:val="18"/>
                <w:szCs w:val="18"/>
              </w:rPr>
              <w:t xml:space="preserve">Valeur</w:t>
            </w:r>
          </w:p>
        </w:tc>
        <w:tc>
          <w:tcPr>
            <w:tcW w:type="dxa" w:w="1200"/>
            <w:shd w:fill="0071C1" w:val="clear"/>
          </w:tcPr>
          <w:p>
            <w:r>
              <w:rPr>
                <w:b/>
                <w:bCs/>
                <w:color w:val="FFFFFF"/>
                <w:sz w:val="18"/>
                <w:szCs w:val="18"/>
              </w:rPr>
              <w:t xml:space="preserve">Statut</w:t>
            </w:r>
          </w:p>
        </w:tc>
        <w:tc>
          <w:tcPr>
            <w:tcW w:type="dxa" w:w="5000"/>
            <w:shd w:fill="0071C1" w:val="clear"/>
          </w:tcPr>
          <w:p>
            <w:r>
              <w:rPr>
                <w:b/>
                <w:bCs/>
                <w:color w:val="FFFFFF"/>
                <w:sz w:val="18"/>
                <w:szCs w:val="18"/>
              </w:rPr>
              <w:t xml:space="preserve">Source / note</w:t>
            </w:r>
          </w:p>
        </w:tc>
      </w:tr>
      <w:tr>
        <w:tc>
          <w:tcPr>
            <w:tcW w:type="dxa" w:w="2200"/>
          </w:tcPr>
          <w:p>
            <w:r>
              <w:rPr>
                <w:sz w:val="18"/>
                <w:szCs w:val="18"/>
              </w:rPr>
              <w:t xml:space="preserve">Électricité</w:t>
            </w:r>
          </w:p>
        </w:tc>
        <w:tc>
          <w:tcPr>
            <w:tcW w:type="dxa" w:w="1100"/>
          </w:tcPr>
          <w:p>
            <w:r>
              <w:rPr>
                <w:sz w:val="18"/>
                <w:szCs w:val="18"/>
              </w:rPr>
              <w:t xml:space="preserve">0,052</w:t>
            </w:r>
          </w:p>
        </w:tc>
        <w:tc>
          <w:tcPr>
            <w:tcW w:type="dxa" w:w="1200"/>
          </w:tcPr>
          <w:p>
            <w:r>
              <w:rPr>
                <w:sz w:val="18"/>
                <w:szCs w:val="18"/>
              </w:rPr>
              <w:t xml:space="preserve">SOURCÉ</w:t>
            </w:r>
          </w:p>
        </w:tc>
        <w:tc>
          <w:tcPr>
            <w:tcW w:type="dxa" w:w="5000"/>
          </w:tcPr>
          <w:p>
            <w:r>
              <w:rPr>
                <w:sz w:val="18"/>
                <w:szCs w:val="18"/>
              </w:rPr>
              <w:t xml:space="preserve">RTE 2023 / ADEME Base Empreinte, mix France (volatile d'une année sur l'autre)</w:t>
            </w:r>
          </w:p>
        </w:tc>
      </w:tr>
      <w:tr>
        <w:tc>
          <w:tcPr>
            <w:tcW w:type="dxa" w:w="2200"/>
          </w:tcPr>
          <w:p>
            <w:r>
              <w:rPr>
                <w:sz w:val="18"/>
                <w:szCs w:val="18"/>
              </w:rPr>
              <w:t xml:space="preserve">Gaz naturel</w:t>
            </w:r>
          </w:p>
        </w:tc>
        <w:tc>
          <w:tcPr>
            <w:tcW w:type="dxa" w:w="1100"/>
          </w:tcPr>
          <w:p>
            <w:r>
              <w:rPr>
                <w:sz w:val="18"/>
                <w:szCs w:val="18"/>
              </w:rPr>
              <w:t xml:space="preserve">0,243</w:t>
            </w:r>
          </w:p>
        </w:tc>
        <w:tc>
          <w:tcPr>
            <w:tcW w:type="dxa" w:w="1200"/>
          </w:tcPr>
          <w:p>
            <w:r>
              <w:rPr>
                <w:sz w:val="18"/>
                <w:szCs w:val="18"/>
              </w:rPr>
              <w:t xml:space="preserve">SOURCÉ</w:t>
            </w:r>
          </w:p>
        </w:tc>
        <w:tc>
          <w:tcPr>
            <w:tcW w:type="dxa" w:w="5000"/>
          </w:tcPr>
          <w:p>
            <w:r>
              <w:rPr>
                <w:sz w:val="18"/>
                <w:szCs w:val="18"/>
              </w:rPr>
              <w:t xml:space="preserve">Base Carbone V23.10, PCI, id 13515</w:t>
            </w:r>
          </w:p>
        </w:tc>
      </w:tr>
      <w:tr>
        <w:tc>
          <w:tcPr>
            <w:tcW w:type="dxa" w:w="2200"/>
          </w:tcPr>
          <w:p>
            <w:r>
              <w:rPr>
                <w:sz w:val="18"/>
                <w:szCs w:val="18"/>
              </w:rPr>
              <w:t xml:space="preserve">Fioul domestique</w:t>
            </w:r>
          </w:p>
        </w:tc>
        <w:tc>
          <w:tcPr>
            <w:tcW w:type="dxa" w:w="1100"/>
          </w:tcPr>
          <w:p>
            <w:r>
              <w:rPr>
                <w:sz w:val="18"/>
                <w:szCs w:val="18"/>
              </w:rPr>
              <w:t xml:space="preserve">0,324</w:t>
            </w:r>
          </w:p>
        </w:tc>
        <w:tc>
          <w:tcPr>
            <w:tcW w:type="dxa" w:w="1200"/>
          </w:tcPr>
          <w:p>
            <w:r>
              <w:rPr>
                <w:sz w:val="18"/>
                <w:szCs w:val="18"/>
              </w:rPr>
              <w:t xml:space="preserve">SOURCÉ</w:t>
            </w:r>
          </w:p>
        </w:tc>
        <w:tc>
          <w:tcPr>
            <w:tcW w:type="dxa" w:w="5000"/>
          </w:tcPr>
          <w:p>
            <w:r>
              <w:rPr>
                <w:sz w:val="18"/>
                <w:szCs w:val="18"/>
              </w:rPr>
              <w:t xml:space="preserve">Base Carbone V23.10, PCI, id 14084</w:t>
            </w:r>
          </w:p>
        </w:tc>
      </w:tr>
      <w:tr>
        <w:tc>
          <w:tcPr>
            <w:tcW w:type="dxa" w:w="2200"/>
          </w:tcPr>
          <w:p>
            <w:r>
              <w:rPr>
                <w:sz w:val="18"/>
                <w:szCs w:val="18"/>
              </w:rPr>
              <w:t xml:space="preserve">Bois / biomasse</w:t>
            </w:r>
          </w:p>
        </w:tc>
        <w:tc>
          <w:tcPr>
            <w:tcW w:type="dxa" w:w="1100"/>
          </w:tcPr>
          <w:p>
            <w:r>
              <w:rPr>
                <w:sz w:val="18"/>
                <w:szCs w:val="18"/>
              </w:rPr>
              <w:t xml:space="preserve">0,046</w:t>
            </w:r>
          </w:p>
        </w:tc>
        <w:tc>
          <w:tcPr>
            <w:tcW w:type="dxa" w:w="1200"/>
          </w:tcPr>
          <w:p>
            <w:r>
              <w:rPr>
                <w:sz w:val="18"/>
                <w:szCs w:val="18"/>
              </w:rPr>
              <w:t xml:space="preserve">SOURCÉ</w:t>
            </w:r>
          </w:p>
        </w:tc>
        <w:tc>
          <w:tcPr>
            <w:tcW w:type="dxa" w:w="5000"/>
          </w:tcPr>
          <w:p>
            <w:r>
              <w:rPr>
                <w:sz w:val="18"/>
                <w:szCs w:val="18"/>
              </w:rPr>
              <w:t xml:space="preserve">Base Carbone V23.10, poêle à bois, id 25834 — valeur la plus élevée</w:t>
            </w:r>
          </w:p>
        </w:tc>
      </w:tr>
      <w:tr>
        <w:tc>
          <w:tcPr>
            <w:tcW w:type="dxa" w:w="2200"/>
          </w:tcPr>
          <w:p>
            <w:r>
              <w:rPr>
                <w:sz w:val="18"/>
                <w:szCs w:val="18"/>
              </w:rPr>
              <w:t xml:space="preserve">Réseau de chaleur urbain</w:t>
            </w:r>
          </w:p>
        </w:tc>
        <w:tc>
          <w:tcPr>
            <w:tcW w:type="dxa" w:w="1100"/>
          </w:tcPr>
          <w:p>
            <w:r>
              <w:rPr>
                <w:sz w:val="18"/>
                <w:szCs w:val="18"/>
              </w:rPr>
              <w:t xml:space="preserve">0,385</w:t>
            </w:r>
          </w:p>
        </w:tc>
        <w:tc>
          <w:tcPr>
            <w:tcW w:type="dxa" w:w="1200"/>
          </w:tcPr>
          <w:p>
            <w:r>
              <w:rPr>
                <w:sz w:val="18"/>
                <w:szCs w:val="18"/>
              </w:rPr>
              <w:t xml:space="preserve">SOURCÉ</w:t>
            </w:r>
          </w:p>
        </w:tc>
        <w:tc>
          <w:tcPr>
            <w:tcW w:type="dxa" w:w="5000"/>
          </w:tcPr>
          <w:p>
            <w:r>
              <w:rPr>
                <w:sz w:val="18"/>
                <w:szCs w:val="18"/>
              </w:rPr>
              <w:t xml:space="preserve">Base Carbone V23.10, moyenne France continentale, id 47684</w:t>
            </w:r>
          </w:p>
        </w:tc>
      </w:tr>
      <w:tr>
        <w:tc>
          <w:tcPr>
            <w:tcW w:type="dxa" w:w="2200"/>
          </w:tcPr>
          <w:p>
            <w:r>
              <w:rPr>
                <w:sz w:val="18"/>
                <w:szCs w:val="18"/>
              </w:rPr>
              <w:t xml:space="preserve">Pompe à chaleur</w:t>
            </w:r>
          </w:p>
        </w:tc>
        <w:tc>
          <w:tcPr>
            <w:tcW w:type="dxa" w:w="1100"/>
          </w:tcPr>
          <w:p>
            <w:r>
              <w:rPr>
                <w:sz w:val="18"/>
                <w:szCs w:val="18"/>
              </w:rPr>
              <w:t xml:space="preserve">0,052</w:t>
            </w:r>
          </w:p>
        </w:tc>
        <w:tc>
          <w:tcPr>
            <w:tcW w:type="dxa" w:w="1200"/>
          </w:tcPr>
          <w:p>
            <w:r>
              <w:rPr>
                <w:sz w:val="18"/>
                <w:szCs w:val="18"/>
              </w:rPr>
              <w:t xml:space="preserve">SOURCÉ</w:t>
            </w:r>
          </w:p>
        </w:tc>
        <w:tc>
          <w:tcPr>
            <w:tcW w:type="dxa" w:w="5000"/>
          </w:tcPr>
          <w:p>
            <w:r>
              <w:rPr>
                <w:sz w:val="18"/>
                <w:szCs w:val="18"/>
              </w:rPr>
              <w:t xml:space="preserve">= électricité (COP déjà reflété dans les kWh saisis)</w:t>
            </w:r>
          </w:p>
        </w:tc>
      </w:tr>
    </w:tbl>
    <w:p>
      <w:pPr>
        <w:pStyle w:val="Heading2"/>
        <w:spacing w:after="150" w:before="300"/>
      </w:pPr>
      <w:r>
        <w:t xml:space="preserve">5.3 Ratios énergie du local par activité (kWh/m²/an)</w:t>
      </w:r>
    </w:p>
    <w:p>
      <w:pPr>
        <w:spacing w:after="150"/>
      </w:pPr>
      <w:r>
        <w:t xml:space="preserve">Source : ADEME/CEREN, "Bâtiment - Chiffres clés" 2012, extrait du classeur kinéCO2. La MSP utilise la catégorie "Commerces" (103 chauffage / 130 électricité) — choix éditorial de Romaric, distinct de la catégorie "Santé" (128/71) utilisée par l'outil individuel.</w:t>
      </w:r>
    </w:p>
    <w:p>
      <w:pPr>
        <w:pStyle w:val="Heading2"/>
        <w:spacing w:after="150" w:before="300"/>
      </w:pPr>
      <w:r>
        <w:t xml:space="preserve">5.4 Bâtiment et immobilisations (kgCO2e/unité ou /€)</w:t>
      </w:r>
    </w:p>
    <w:tbl>
      <w:tblPr>
        <w:tblW w:type="dxa" w:w="9500"/>
        <w:tblBorders>
          <w:top w:val="single" w:color="auto" w:sz="4"/>
          <w:left w:val="single" w:color="auto" w:sz="4"/>
          <w:bottom w:val="single" w:color="auto" w:sz="4"/>
          <w:right w:val="single" w:color="auto" w:sz="4"/>
          <w:insideH w:val="single" w:color="auto" w:sz="4"/>
          <w:insideV w:val="single" w:color="auto" w:sz="4"/>
        </w:tblBorders>
      </w:tblPr>
      <w:tblGrid>
        <w:gridCol w:w="3200"/>
        <w:gridCol w:w="1500"/>
        <w:gridCol w:w="1200"/>
        <w:gridCol w:w="3600"/>
      </w:tblGrid>
      <w:tr>
        <w:tc>
          <w:tcPr>
            <w:tcW w:type="dxa" w:w="3200"/>
            <w:shd w:fill="0071C1" w:val="clear"/>
          </w:tcPr>
          <w:p>
            <w:r>
              <w:rPr>
                <w:b/>
                <w:bCs/>
                <w:color w:val="FFFFFF"/>
                <w:sz w:val="18"/>
                <w:szCs w:val="18"/>
              </w:rPr>
              <w:t xml:space="preserve">Élément</w:t>
            </w:r>
          </w:p>
        </w:tc>
        <w:tc>
          <w:tcPr>
            <w:tcW w:type="dxa" w:w="1500"/>
            <w:shd w:fill="0071C1" w:val="clear"/>
          </w:tcPr>
          <w:p>
            <w:r>
              <w:rPr>
                <w:b/>
                <w:bCs/>
                <w:color w:val="FFFFFF"/>
                <w:sz w:val="18"/>
                <w:szCs w:val="18"/>
              </w:rPr>
              <w:t xml:space="preserve">Valeur</w:t>
            </w:r>
          </w:p>
        </w:tc>
        <w:tc>
          <w:tcPr>
            <w:tcW w:type="dxa" w:w="1200"/>
            <w:shd w:fill="0071C1" w:val="clear"/>
          </w:tcPr>
          <w:p>
            <w:r>
              <w:rPr>
                <w:b/>
                <w:bCs/>
                <w:color w:val="FFFFFF"/>
                <w:sz w:val="18"/>
                <w:szCs w:val="18"/>
              </w:rPr>
              <w:t xml:space="preserve">Statut</w:t>
            </w:r>
          </w:p>
        </w:tc>
        <w:tc>
          <w:tcPr>
            <w:tcW w:type="dxa" w:w="3600"/>
            <w:shd w:fill="0071C1" w:val="clear"/>
          </w:tcPr>
          <w:p>
            <w:r>
              <w:rPr>
                <w:b/>
                <w:bCs/>
                <w:color w:val="FFFFFF"/>
                <w:sz w:val="18"/>
                <w:szCs w:val="18"/>
              </w:rPr>
              <w:t xml:space="preserve">Source / note</w:t>
            </w:r>
          </w:p>
        </w:tc>
      </w:tr>
      <w:tr>
        <w:tc>
          <w:tcPr>
            <w:tcW w:type="dxa" w:w="3200"/>
          </w:tcPr>
          <w:p>
            <w:r>
              <w:rPr>
                <w:sz w:val="18"/>
                <w:szCs w:val="18"/>
              </w:rPr>
              <w:t xml:space="preserve">Bâtiment santé (construction)</w:t>
            </w:r>
          </w:p>
        </w:tc>
        <w:tc>
          <w:tcPr>
            <w:tcW w:type="dxa" w:w="1500"/>
          </w:tcPr>
          <w:p>
            <w:r>
              <w:rPr>
                <w:sz w:val="18"/>
                <w:szCs w:val="18"/>
              </w:rPr>
              <w:t xml:space="preserve">440 kg/m²</w:t>
            </w:r>
          </w:p>
        </w:tc>
        <w:tc>
          <w:tcPr>
            <w:tcW w:type="dxa" w:w="1200"/>
          </w:tcPr>
          <w:p>
            <w:r>
              <w:rPr>
                <w:sz w:val="18"/>
                <w:szCs w:val="18"/>
              </w:rPr>
              <w:t xml:space="preserve">SOURCÉ</w:t>
            </w:r>
          </w:p>
        </w:tc>
        <w:tc>
          <w:tcPr>
            <w:tcW w:type="dxa" w:w="3600"/>
          </w:tcPr>
          <w:p>
            <w:r>
              <w:rPr>
                <w:sz w:val="18"/>
                <w:szCs w:val="18"/>
              </w:rPr>
              <w:t xml:space="preserve">Base Carbone V23.10, id 20739, amorti 30 ans</w:t>
            </w:r>
          </w:p>
        </w:tc>
      </w:tr>
      <w:tr>
        <w:tc>
          <w:tcPr>
            <w:tcW w:type="dxa" w:w="3200"/>
          </w:tcPr>
          <w:p>
            <w:r>
              <w:rPr>
                <w:sz w:val="18"/>
                <w:szCs w:val="18"/>
              </w:rPr>
              <w:t xml:space="preserve">Ordinateur fixe</w:t>
            </w:r>
          </w:p>
        </w:tc>
        <w:tc>
          <w:tcPr>
            <w:tcW w:type="dxa" w:w="1500"/>
          </w:tcPr>
          <w:p>
            <w:r>
              <w:rPr>
                <w:sz w:val="18"/>
                <w:szCs w:val="18"/>
              </w:rPr>
              <w:t xml:space="preserve">296 kg</w:t>
            </w:r>
          </w:p>
        </w:tc>
        <w:tc>
          <w:tcPr>
            <w:tcW w:type="dxa" w:w="1200"/>
          </w:tcPr>
          <w:p>
            <w:r>
              <w:rPr>
                <w:sz w:val="18"/>
                <w:szCs w:val="18"/>
              </w:rPr>
              <w:t xml:space="preserve">SOURCÉ</w:t>
            </w:r>
          </w:p>
        </w:tc>
        <w:tc>
          <w:tcPr>
            <w:tcW w:type="dxa" w:w="3600"/>
          </w:tcPr>
          <w:p>
            <w:r>
              <w:rPr>
                <w:sz w:val="18"/>
                <w:szCs w:val="18"/>
              </w:rPr>
              <w:t xml:space="preserve">Base Carbone V23.10, id 27004 — valeur la plus élevée (169 ou 296)</w:t>
            </w:r>
          </w:p>
        </w:tc>
      </w:tr>
      <w:tr>
        <w:tc>
          <w:tcPr>
            <w:tcW w:type="dxa" w:w="3200"/>
          </w:tcPr>
          <w:p>
            <w:r>
              <w:rPr>
                <w:sz w:val="18"/>
                <w:szCs w:val="18"/>
              </w:rPr>
              <w:t xml:space="preserve">Ordinateur portable</w:t>
            </w:r>
          </w:p>
        </w:tc>
        <w:tc>
          <w:tcPr>
            <w:tcW w:type="dxa" w:w="1500"/>
          </w:tcPr>
          <w:p>
            <w:r>
              <w:rPr>
                <w:sz w:val="18"/>
                <w:szCs w:val="18"/>
              </w:rPr>
              <w:t xml:space="preserve">156 kg</w:t>
            </w:r>
          </w:p>
        </w:tc>
        <w:tc>
          <w:tcPr>
            <w:tcW w:type="dxa" w:w="1200"/>
          </w:tcPr>
          <w:p>
            <w:r>
              <w:rPr>
                <w:sz w:val="18"/>
                <w:szCs w:val="18"/>
              </w:rPr>
              <w:t xml:space="preserve">SOURCÉ</w:t>
            </w:r>
          </w:p>
        </w:tc>
        <w:tc>
          <w:tcPr>
            <w:tcW w:type="dxa" w:w="3600"/>
          </w:tcPr>
          <w:p>
            <w:r>
              <w:rPr>
                <w:sz w:val="18"/>
                <w:szCs w:val="18"/>
              </w:rPr>
              <w:t xml:space="preserve">ISLEAN/GreenIT</w:t>
            </w:r>
          </w:p>
        </w:tc>
      </w:tr>
      <w:tr>
        <w:tc>
          <w:tcPr>
            <w:tcW w:type="dxa" w:w="3200"/>
          </w:tcPr>
          <w:p>
            <w:r>
              <w:rPr>
                <w:sz w:val="18"/>
                <w:szCs w:val="18"/>
              </w:rPr>
              <w:t xml:space="preserve">Écran supplémentaire</w:t>
            </w:r>
          </w:p>
        </w:tc>
        <w:tc>
          <w:tcPr>
            <w:tcW w:type="dxa" w:w="1500"/>
          </w:tcPr>
          <w:p>
            <w:r>
              <w:rPr>
                <w:sz w:val="18"/>
                <w:szCs w:val="18"/>
              </w:rPr>
              <w:t xml:space="preserve">431 kg</w:t>
            </w:r>
          </w:p>
        </w:tc>
        <w:tc>
          <w:tcPr>
            <w:tcW w:type="dxa" w:w="1200"/>
          </w:tcPr>
          <w:p>
            <w:r>
              <w:rPr>
                <w:sz w:val="18"/>
                <w:szCs w:val="18"/>
              </w:rPr>
              <w:t xml:space="preserve">SOURCÉ</w:t>
            </w:r>
          </w:p>
        </w:tc>
        <w:tc>
          <w:tcPr>
            <w:tcW w:type="dxa" w:w="3600"/>
          </w:tcPr>
          <w:p>
            <w:r>
              <w:rPr>
                <w:sz w:val="18"/>
                <w:szCs w:val="18"/>
              </w:rPr>
              <w:t xml:space="preserve">Base Carbone V23.10, Écran LCD 24", id 20598 — la plus élevée</w:t>
            </w:r>
          </w:p>
        </w:tc>
      </w:tr>
      <w:tr>
        <w:tc>
          <w:tcPr>
            <w:tcW w:type="dxa" w:w="3200"/>
          </w:tcPr>
          <w:p>
            <w:r>
              <w:rPr>
                <w:sz w:val="18"/>
                <w:szCs w:val="18"/>
              </w:rPr>
              <w:t xml:space="preserve">Équipements lourds standard</w:t>
            </w:r>
          </w:p>
        </w:tc>
        <w:tc>
          <w:tcPr>
            <w:tcW w:type="dxa" w:w="1500"/>
          </w:tcPr>
          <w:p>
            <w:r>
              <w:rPr>
                <w:sz w:val="18"/>
                <w:szCs w:val="18"/>
              </w:rPr>
              <w:t xml:space="preserve">0,19 kg/€</w:t>
            </w:r>
          </w:p>
        </w:tc>
        <w:tc>
          <w:tcPr>
            <w:tcW w:type="dxa" w:w="1200"/>
          </w:tcPr>
          <w:p>
            <w:r>
              <w:rPr>
                <w:sz w:val="18"/>
                <w:szCs w:val="18"/>
              </w:rPr>
              <w:t xml:space="preserve">SOURCÉ</w:t>
            </w:r>
          </w:p>
        </w:tc>
        <w:tc>
          <w:tcPr>
            <w:tcW w:type="dxa" w:w="3600"/>
          </w:tcPr>
          <w:p>
            <w:r>
              <w:rPr>
                <w:sz w:val="18"/>
                <w:szCs w:val="18"/>
              </w:rPr>
              <w:t xml:space="preserve">kinéCO2, matériel médical</w:t>
            </w:r>
          </w:p>
        </w:tc>
      </w:tr>
      <w:tr>
        <w:tc>
          <w:tcPr>
            <w:tcW w:type="dxa" w:w="3200"/>
          </w:tcPr>
          <w:p>
            <w:r>
              <w:rPr>
                <w:sz w:val="18"/>
                <w:szCs w:val="18"/>
              </w:rPr>
              <w:t xml:space="preserve">Équipements massifs</w:t>
            </w:r>
          </w:p>
        </w:tc>
        <w:tc>
          <w:tcPr>
            <w:tcW w:type="dxa" w:w="1500"/>
          </w:tcPr>
          <w:p>
            <w:r>
              <w:rPr>
                <w:sz w:val="18"/>
                <w:szCs w:val="18"/>
              </w:rPr>
              <w:t xml:space="preserve">0,72 kg/€</w:t>
            </w:r>
          </w:p>
        </w:tc>
        <w:tc>
          <w:tcPr>
            <w:tcW w:type="dxa" w:w="1200"/>
          </w:tcPr>
          <w:p>
            <w:r>
              <w:rPr>
                <w:sz w:val="18"/>
                <w:szCs w:val="18"/>
              </w:rPr>
              <w:t xml:space="preserve">SOURCÉ</w:t>
            </w:r>
          </w:p>
        </w:tc>
        <w:tc>
          <w:tcPr>
            <w:tcW w:type="dxa" w:w="3600"/>
          </w:tcPr>
          <w:p>
            <w:r>
              <w:rPr>
                <w:sz w:val="18"/>
                <w:szCs w:val="18"/>
              </w:rPr>
              <w:t xml:space="preserve">kinéCO2 / Decathlon</w:t>
            </w:r>
          </w:p>
        </w:tc>
      </w:tr>
      <w:tr>
        <w:tc>
          <w:tcPr>
            <w:tcW w:type="dxa" w:w="3200"/>
          </w:tcPr>
          <w:p>
            <w:r>
              <w:rPr>
                <w:sz w:val="18"/>
                <w:szCs w:val="18"/>
              </w:rPr>
              <w:t xml:space="preserve">Mobilier (par unité)</w:t>
            </w:r>
          </w:p>
        </w:tc>
        <w:tc>
          <w:tcPr>
            <w:tcW w:type="dxa" w:w="1500"/>
          </w:tcPr>
          <w:p>
            <w:r>
              <w:rPr>
                <w:sz w:val="18"/>
                <w:szCs w:val="18"/>
              </w:rPr>
              <w:t xml:space="preserve">18,6 à 907 kg</w:t>
            </w:r>
          </w:p>
        </w:tc>
        <w:tc>
          <w:tcPr>
            <w:tcW w:type="dxa" w:w="1200"/>
          </w:tcPr>
          <w:p>
            <w:r>
              <w:rPr>
                <w:sz w:val="18"/>
                <w:szCs w:val="18"/>
              </w:rPr>
              <w:t xml:space="preserve">SOURCÉ</w:t>
            </w:r>
          </w:p>
        </w:tc>
        <w:tc>
          <w:tcPr>
            <w:tcW w:type="dxa" w:w="3600"/>
          </w:tcPr>
          <w:p>
            <w:r>
              <w:rPr>
                <w:sz w:val="18"/>
                <w:szCs w:val="18"/>
              </w:rPr>
              <w:t xml:space="preserve">Base Carbone V23.10, selon type de mobilier</w:t>
            </w:r>
          </w:p>
        </w:tc>
      </w:tr>
    </w:tbl>
    <w:p>
      <w:pPr>
        <w:pStyle w:val="Heading2"/>
        <w:spacing w:after="150" w:before="300"/>
      </w:pPr>
      <w:r>
        <w:t xml:space="preserve">5.5 Alimentation, prescriptions, monétaires</w:t>
      </w:r>
    </w:p>
    <w:tbl>
      <w:tblPr>
        <w:tblW w:type="dxa" w:w="9500"/>
        <w:tblBorders>
          <w:top w:val="single" w:color="auto" w:sz="4"/>
          <w:left w:val="single" w:color="auto" w:sz="4"/>
          <w:bottom w:val="single" w:color="auto" w:sz="4"/>
          <w:right w:val="single" w:color="auto" w:sz="4"/>
          <w:insideH w:val="single" w:color="auto" w:sz="4"/>
          <w:insideV w:val="single" w:color="auto" w:sz="4"/>
        </w:tblBorders>
      </w:tblPr>
      <w:tblGrid>
        <w:gridCol w:w="3200"/>
        <w:gridCol w:w="1500"/>
        <w:gridCol w:w="1200"/>
        <w:gridCol w:w="3600"/>
      </w:tblGrid>
      <w:tr>
        <w:tc>
          <w:tcPr>
            <w:tcW w:type="dxa" w:w="3200"/>
            <w:shd w:fill="0071C1" w:val="clear"/>
          </w:tcPr>
          <w:p>
            <w:r>
              <w:rPr>
                <w:b/>
                <w:bCs/>
                <w:color w:val="FFFFFF"/>
                <w:sz w:val="18"/>
                <w:szCs w:val="18"/>
              </w:rPr>
              <w:t xml:space="preserve">Élément</w:t>
            </w:r>
          </w:p>
        </w:tc>
        <w:tc>
          <w:tcPr>
            <w:tcW w:type="dxa" w:w="1500"/>
            <w:shd w:fill="0071C1" w:val="clear"/>
          </w:tcPr>
          <w:p>
            <w:r>
              <w:rPr>
                <w:b/>
                <w:bCs/>
                <w:color w:val="FFFFFF"/>
                <w:sz w:val="18"/>
                <w:szCs w:val="18"/>
              </w:rPr>
              <w:t xml:space="preserve">Valeur</w:t>
            </w:r>
          </w:p>
        </w:tc>
        <w:tc>
          <w:tcPr>
            <w:tcW w:type="dxa" w:w="1200"/>
            <w:shd w:fill="0071C1" w:val="clear"/>
          </w:tcPr>
          <w:p>
            <w:r>
              <w:rPr>
                <w:b/>
                <w:bCs/>
                <w:color w:val="FFFFFF"/>
                <w:sz w:val="18"/>
                <w:szCs w:val="18"/>
              </w:rPr>
              <w:t xml:space="preserve">Statut</w:t>
            </w:r>
          </w:p>
        </w:tc>
        <w:tc>
          <w:tcPr>
            <w:tcW w:type="dxa" w:w="3600"/>
            <w:shd w:fill="0071C1" w:val="clear"/>
          </w:tcPr>
          <w:p>
            <w:r>
              <w:rPr>
                <w:b/>
                <w:bCs/>
                <w:color w:val="FFFFFF"/>
                <w:sz w:val="18"/>
                <w:szCs w:val="18"/>
              </w:rPr>
              <w:t xml:space="preserve">Source / note</w:t>
            </w:r>
          </w:p>
        </w:tc>
      </w:tr>
      <w:tr>
        <w:tc>
          <w:tcPr>
            <w:tcW w:type="dxa" w:w="3200"/>
          </w:tcPr>
          <w:p>
            <w:r>
              <w:rPr>
                <w:sz w:val="18"/>
                <w:szCs w:val="18"/>
              </w:rPr>
              <w:t xml:space="preserve">Repas standard</w:t>
            </w:r>
          </w:p>
        </w:tc>
        <w:tc>
          <w:tcPr>
            <w:tcW w:type="dxa" w:w="1500"/>
          </w:tcPr>
          <w:p>
            <w:r>
              <w:rPr>
                <w:sz w:val="18"/>
                <w:szCs w:val="18"/>
              </w:rPr>
              <w:t xml:space="preserve">2,04 kg</w:t>
            </w:r>
          </w:p>
        </w:tc>
        <w:tc>
          <w:tcPr>
            <w:tcW w:type="dxa" w:w="1200"/>
          </w:tcPr>
          <w:p>
            <w:r>
              <w:rPr>
                <w:sz w:val="18"/>
                <w:szCs w:val="18"/>
              </w:rPr>
              <w:t xml:space="preserve">SOURCÉ</w:t>
            </w:r>
          </w:p>
        </w:tc>
        <w:tc>
          <w:tcPr>
            <w:tcW w:type="dxa" w:w="3600"/>
          </w:tcPr>
          <w:p>
            <w:r>
              <w:rPr>
                <w:sz w:val="18"/>
                <w:szCs w:val="18"/>
              </w:rPr>
              <w:t xml:space="preserve">kinéCO2 / Agribalyse</w:t>
            </w:r>
          </w:p>
        </w:tc>
      </w:tr>
      <w:tr>
        <w:tc>
          <w:tcPr>
            <w:tcW w:type="dxa" w:w="3200"/>
          </w:tcPr>
          <w:p>
            <w:r>
              <w:rPr>
                <w:sz w:val="18"/>
                <w:szCs w:val="18"/>
              </w:rPr>
              <w:t xml:space="preserve">Repas végétarien</w:t>
            </w:r>
          </w:p>
        </w:tc>
        <w:tc>
          <w:tcPr>
            <w:tcW w:type="dxa" w:w="1500"/>
          </w:tcPr>
          <w:p>
            <w:r>
              <w:rPr>
                <w:sz w:val="18"/>
                <w:szCs w:val="18"/>
              </w:rPr>
              <w:t xml:space="preserve">1,40 kg</w:t>
            </w:r>
          </w:p>
        </w:tc>
        <w:tc>
          <w:tcPr>
            <w:tcW w:type="dxa" w:w="1200"/>
          </w:tcPr>
          <w:p>
            <w:r>
              <w:rPr>
                <w:sz w:val="18"/>
                <w:szCs w:val="18"/>
              </w:rPr>
              <w:t xml:space="preserve">SOURCÉ</w:t>
            </w:r>
          </w:p>
        </w:tc>
        <w:tc>
          <w:tcPr>
            <w:tcW w:type="dxa" w:w="3600"/>
          </w:tcPr>
          <w:p>
            <w:r>
              <w:rPr>
                <w:sz w:val="18"/>
                <w:szCs w:val="18"/>
              </w:rPr>
              <w:t xml:space="preserve">kinéCO2 / Agribalyse</w:t>
            </w:r>
          </w:p>
        </w:tc>
      </w:tr>
      <w:tr>
        <w:tc>
          <w:tcPr>
            <w:tcW w:type="dxa" w:w="3200"/>
          </w:tcPr>
          <w:p>
            <w:r>
              <w:rPr>
                <w:sz w:val="18"/>
                <w:szCs w:val="18"/>
              </w:rPr>
              <w:t xml:space="preserve">Médicaments prescrits</w:t>
            </w:r>
          </w:p>
        </w:tc>
        <w:tc>
          <w:tcPr>
            <w:tcW w:type="dxa" w:w="1500"/>
          </w:tcPr>
          <w:p>
            <w:r>
              <w:rPr>
                <w:sz w:val="18"/>
                <w:szCs w:val="18"/>
              </w:rPr>
              <w:t xml:space="preserve">0,5 kg/€</w:t>
            </w:r>
          </w:p>
        </w:tc>
        <w:tc>
          <w:tcPr>
            <w:tcW w:type="dxa" w:w="1200"/>
          </w:tcPr>
          <w:p>
            <w:r>
              <w:rPr>
                <w:sz w:val="18"/>
                <w:szCs w:val="18"/>
              </w:rPr>
              <w:t xml:space="preserve">SOURCÉ</w:t>
            </w:r>
          </w:p>
        </w:tc>
        <w:tc>
          <w:tcPr>
            <w:tcW w:type="dxa" w:w="3600"/>
          </w:tcPr>
          <w:p>
            <w:r>
              <w:rPr>
                <w:sz w:val="18"/>
                <w:szCs w:val="18"/>
              </w:rPr>
              <w:t xml:space="preserve">The Shift Project / ADEME Base Empreinte, note technique avril 2023</w:t>
            </w:r>
          </w:p>
        </w:tc>
      </w:tr>
      <w:tr>
        <w:tc>
          <w:tcPr>
            <w:tcW w:type="dxa" w:w="3200"/>
          </w:tcPr>
          <w:p>
            <w:r>
              <w:rPr>
                <w:sz w:val="18"/>
                <w:szCs w:val="18"/>
              </w:rPr>
              <w:t xml:space="preserve">Biens/consommables</w:t>
            </w:r>
          </w:p>
        </w:tc>
        <w:tc>
          <w:tcPr>
            <w:tcW w:type="dxa" w:w="1500"/>
          </w:tcPr>
          <w:p>
            <w:r>
              <w:rPr>
                <w:sz w:val="18"/>
                <w:szCs w:val="18"/>
              </w:rPr>
              <w:t xml:space="preserve">0,357 kg/€</w:t>
            </w:r>
          </w:p>
        </w:tc>
        <w:tc>
          <w:tcPr>
            <w:tcW w:type="dxa" w:w="1200"/>
          </w:tcPr>
          <w:p>
            <w:r>
              <w:rPr>
                <w:sz w:val="18"/>
                <w:szCs w:val="18"/>
              </w:rPr>
              <w:t xml:space="preserve">SOURCÉ</w:t>
            </w:r>
          </w:p>
        </w:tc>
        <w:tc>
          <w:tcPr>
            <w:tcW w:type="dxa" w:w="3600"/>
          </w:tcPr>
          <w:p>
            <w:r>
              <w:rPr>
                <w:sz w:val="18"/>
                <w:szCs w:val="18"/>
              </w:rPr>
              <w:t xml:space="preserve">Base Carbone V23.10, "Papier et carton 2023", id 43370</w:t>
            </w:r>
          </w:p>
        </w:tc>
      </w:tr>
      <w:tr>
        <w:tc>
          <w:tcPr>
            <w:tcW w:type="dxa" w:w="3200"/>
          </w:tcPr>
          <w:p>
            <w:r>
              <w:rPr>
                <w:sz w:val="18"/>
                <w:szCs w:val="18"/>
              </w:rPr>
              <w:t xml:space="preserve">Services intellectuels</w:t>
            </w:r>
          </w:p>
        </w:tc>
        <w:tc>
          <w:tcPr>
            <w:tcW w:type="dxa" w:w="1500"/>
          </w:tcPr>
          <w:p>
            <w:r>
              <w:rPr>
                <w:sz w:val="18"/>
                <w:szCs w:val="18"/>
              </w:rPr>
              <w:t xml:space="preserve">0,077 kg/€</w:t>
            </w:r>
          </w:p>
        </w:tc>
        <w:tc>
          <w:tcPr>
            <w:tcW w:type="dxa" w:w="1200"/>
          </w:tcPr>
          <w:p>
            <w:r>
              <w:rPr>
                <w:sz w:val="18"/>
                <w:szCs w:val="18"/>
              </w:rPr>
              <w:t xml:space="preserve">SOURCÉ</w:t>
            </w:r>
          </w:p>
        </w:tc>
        <w:tc>
          <w:tcPr>
            <w:tcW w:type="dxa" w:w="3600"/>
          </w:tcPr>
          <w:p>
            <w:r>
              <w:rPr>
                <w:sz w:val="18"/>
                <w:szCs w:val="18"/>
              </w:rPr>
              <w:t xml:space="preserve">Base Carbone V23.10, Assurance 2023, id 43475 — la plus élevée</w:t>
            </w:r>
          </w:p>
        </w:tc>
      </w:tr>
      <w:tr>
        <w:tc>
          <w:tcPr>
            <w:tcW w:type="dxa" w:w="3200"/>
          </w:tcPr>
          <w:p>
            <w:r>
              <w:rPr>
                <w:sz w:val="18"/>
                <w:szCs w:val="18"/>
              </w:rPr>
              <w:t xml:space="preserve">Fret / colis</w:t>
            </w:r>
          </w:p>
        </w:tc>
        <w:tc>
          <w:tcPr>
            <w:tcW w:type="dxa" w:w="1500"/>
          </w:tcPr>
          <w:p>
            <w:r>
              <w:rPr>
                <w:sz w:val="18"/>
                <w:szCs w:val="18"/>
              </w:rPr>
              <w:t xml:space="preserve">1,0 kg/colis</w:t>
            </w:r>
          </w:p>
        </w:tc>
        <w:tc>
          <w:tcPr>
            <w:tcW w:type="dxa" w:w="1200"/>
          </w:tcPr>
          <w:p>
            <w:r>
              <w:rPr>
                <w:sz w:val="18"/>
                <w:szCs w:val="18"/>
              </w:rPr>
              <w:t xml:space="preserve">SOURCÉ</w:t>
            </w:r>
          </w:p>
        </w:tc>
        <w:tc>
          <w:tcPr>
            <w:tcW w:type="dxa" w:w="3600"/>
          </w:tcPr>
          <w:p>
            <w:r>
              <w:rPr>
                <w:sz w:val="18"/>
                <w:szCs w:val="18"/>
              </w:rPr>
              <w:t xml:space="preserve">Étude ADEME impacts environnementaux e-commerce</w:t>
            </w:r>
          </w:p>
        </w:tc>
      </w:tr>
    </w:tbl>
    <w:p>
      <w:r>
        <w:br w:type="page"/>
      </w:r>
    </w:p>
    <w:p>
      <w:pPr>
        <w:pStyle w:val="Heading1"/>
        <w:spacing w:after="200" w:before="400"/>
      </w:pPr>
      <w:r>
        <w:t xml:space="preserve">6. Indicateur "Dépendance aux énergies fossiles"</w:t>
      </w:r>
    </w:p>
    <w:p>
      <w:pPr>
        <w:spacing w:after="150"/>
      </w:pPr>
      <w:r>
        <w:t xml:space="preserve">Cet indicateur, affiché sur l'écran Résultats, exprime la progression de la structure entre la moyenne nationale actuelle de la médecine de ville (0%) et l'objectif national de décarbonation à horizon 2050 sur le seul périmètre "actes" (100%). C'est l'indicateur le plus méthodologiquement construit de l'outil ; sa dérivation complète est documentée ici pour traçabilité.</w:t>
      </w:r>
    </w:p>
    <w:p>
      <w:pPr>
        <w:pStyle w:val="Heading2"/>
        <w:spacing w:after="150" w:before="300"/>
      </w:pPr>
      <w:r>
        <w:t xml:space="preserve">6.1 Moyenne nationale actuelle : 4,99 kgCO2e/acte</w:t>
      </w:r>
    </w:p>
    <w:p>
      <w:pPr>
        <w:spacing w:after="150"/>
      </w:pPr>
      <w:r>
        <w:rPr>
          <w:b/>
          <w:bCs/>
        </w:rPr>
        <w:t xml:space="preserve">Calcul top-down :</w:t>
      </w:r>
    </w:p>
    <w:p>
      <w:pPr>
        <w:pStyle w:val="ListParagraph"/>
        <w:numPr>
          <w:ilvl w:val="0"/>
          <w:numId w:val="1"/>
        </w:numPr>
        <w:spacing w:after="80"/>
      </w:pPr>
      <w:r>
        <w:t xml:space="preserve">Numérateur : 23% des 49 MtCO2e du secteur santé français = 11,27 MtCO2e/an (émissions "médecine de ville", The Shift Project, "Décarboner la santé", 2023).</w:t>
      </w:r>
    </w:p>
    <w:p>
      <w:pPr>
        <w:pStyle w:val="ListParagraph"/>
        <w:numPr>
          <w:ilvl w:val="0"/>
          <w:numId w:val="1"/>
        </w:numPr>
        <w:spacing w:after="80"/>
      </w:pPr>
      <w:r>
        <w:t xml:space="preserve">Dénominateur : 2 256 485 459 actes de médecine de ville, composé de :</w:t>
      </w:r>
    </w:p>
    <w:p>
      <w:pPr>
        <w:pStyle w:val="ListParagraph"/>
        <w:numPr>
          <w:ilvl w:val="1"/>
          <w:numId w:val="1"/>
        </w:numPr>
        <w:spacing w:after="60"/>
      </w:pPr>
      <w:r>
        <w:t xml:space="preserve">Médecins (généralistes + spécialistes) : 335 593 153 actes — CNAM/Ameli, "Activité des médecins libéraux par région", 2023</w:t>
      </w:r>
    </w:p>
    <w:p>
      <w:pPr>
        <w:pStyle w:val="ListParagraph"/>
        <w:numPr>
          <w:ilvl w:val="1"/>
          <w:numId w:val="1"/>
        </w:numPr>
        <w:spacing w:after="60"/>
      </w:pPr>
      <w:r>
        <w:t xml:space="preserve">Auxiliaires médicaux (infirmiers, kinés, orthophonistes, orthoptistes, pédicures) : 1 241 084 687 actes — CNAM/Ameli, 2023</w:t>
      </w:r>
    </w:p>
    <w:p>
      <w:pPr>
        <w:pStyle w:val="ListParagraph"/>
        <w:numPr>
          <w:ilvl w:val="1"/>
          <w:numId w:val="1"/>
        </w:numPr>
        <w:spacing w:after="60"/>
      </w:pPr>
      <w:r>
        <w:t xml:space="preserve">Sages-femmes : 16 304 166 actes — CNAM/Ameli, 2023</w:t>
      </w:r>
    </w:p>
    <w:p>
      <w:pPr>
        <w:pStyle w:val="ListParagraph"/>
        <w:numPr>
          <w:ilvl w:val="1"/>
          <w:numId w:val="1"/>
        </w:numPr>
        <w:spacing w:after="60"/>
      </w:pPr>
      <w:r>
        <w:t xml:space="preserve">Chirurgiens-dentistes : 118 208 896 actes — CNAM/Ameli, 2023</w:t>
      </w:r>
    </w:p>
    <w:p>
      <w:pPr>
        <w:pStyle w:val="ListParagraph"/>
        <w:numPr>
          <w:ilvl w:val="1"/>
          <w:numId w:val="1"/>
        </w:numPr>
        <w:spacing w:after="60"/>
      </w:pPr>
      <w:r>
        <w:t xml:space="preserve">Biologie médicale : 545 294 557 passages-équivalents — Biol'AM 2023 (1 635 883 670 actes NABM, prescripteurs ville), déflaté sous l'hypothèse de 3 actes NABM par passage en laboratoire (ESTIMÉ, non sourcé précisément)</w:t>
      </w:r>
    </w:p>
    <w:p>
      <w:pPr>
        <w:spacing w:after="150"/>
      </w:pPr>
      <w:r>
        <w:t xml:space="preserve">Exclu par choix méthodologique : la pharmacie (Medic'AM compte des "boîtes délivrées", une unité non comparable à un acte clinique) et plusieurs professions paramédicales à faible volume non trouvées en série dédiée (ergothérapeutes, psychomotriciens, manipulateurs radio, audioprothésistes, opticiens, diététiciens).</w:t>
      </w:r>
    </w:p>
    <w:p>
      <w:pPr>
        <w:spacing w:after="150"/>
      </w:pPr>
      <w:r>
        <w:rPr>
          <w:i/>
          <w:iCs/>
        </w:rPr>
        <w:t xml:space="preserve">Validation croisée : ce chiffre top-down converge avec une étude indépendante bottom-up (Unisanté, Suisse, Environmental Health 2022) mesurant 4,8 kgCO2e/consultation sur 10 cabinets de médecine générale — moins de 5% d'écart entre deux méthodes complètement différentes.</w:t>
      </w:r>
    </w:p>
    <w:p>
      <w:pPr>
        <w:pStyle w:val="Heading2"/>
        <w:spacing w:after="150" w:before="300"/>
      </w:pPr>
      <w:r>
        <w:t xml:space="preserve">6.2 Objectif national 2050 : 1,94 kgCO2e/acte (-61,2%)</w:t>
      </w:r>
    </w:p>
    <w:p>
      <w:pPr>
        <w:spacing w:after="150"/>
      </w:pPr>
      <w:r>
        <w:t xml:space="preserve">The Shift Project (2021) distingue deux scénarios 2050 :</w:t>
      </w:r>
    </w:p>
    <w:p>
      <w:pPr>
        <w:pStyle w:val="ListParagraph"/>
        <w:numPr>
          <w:ilvl w:val="0"/>
          <w:numId w:val="1"/>
        </w:numPr>
        <w:spacing w:after="80"/>
      </w:pPr>
      <w:r>
        <w:t xml:space="preserve">Avec décarbonation technique des postes d'émission + baisse de 60% de l'intensité carbone des médicaments/dispositifs médicaux, SANS réduction du volume de soins par la prévention : 19 MtCO2e restants sur 49, soit -61,2%.</w:t>
      </w:r>
    </w:p>
    <w:p>
      <w:pPr>
        <w:pStyle w:val="ListParagraph"/>
        <w:numPr>
          <w:ilvl w:val="0"/>
          <w:numId w:val="1"/>
        </w:numPr>
        <w:spacing w:after="80"/>
      </w:pPr>
      <w:r>
        <w:t xml:space="preserve">Avec en plus la prévention et le "juste soin" (réduction du volume d'actes) : -80%, objectif final du rapport.</w:t>
      </w:r>
    </w:p>
    <w:p>
      <w:pPr>
        <w:spacing w:after="150"/>
      </w:pPr>
      <w:r>
        <w:t xml:space="preserve">L'indicateur de l'outil retient le scénario "sans prévention" (-61,2%), car il porte spécifiquement sur le levier "décarbonation des actes" que l'outil peut influencer, par opposition au levier systémique de réduction du volume de soins, hors du périmètre d'un calculateur individuel de structure.</w:t>
      </w:r>
    </w:p>
    <w:p>
      <w:pPr>
        <w:spacing w:after="150"/>
      </w:pPr>
      <w:r>
        <w:rPr>
          <w:i/>
          <w:iCs/>
        </w:rPr>
        <w:t xml:space="preserve">Limite assumée : ce taux de réduction est calculé sur l'ensemble du secteur santé (hôpital, médico-social, médecine de ville), pas spécifiquement sur la médecine de ville. Il est appliqué à notre ratio "médecine de ville" sous l'hypothèse que ce sous-secteur se décarbone à un rythme comparable à la moyenne du secteur — hypothèse raisonnable mais non vérifiée poste par poste.</w:t>
      </w:r>
    </w:p>
    <w:p>
      <w:pPr>
        <w:pStyle w:val="Heading2"/>
        <w:spacing w:after="150" w:before="300"/>
      </w:pPr>
      <w:r>
        <w:t xml:space="preserve">6.3 Formule affichée</w:t>
      </w:r>
    </w:p>
    <w:p>
      <w:pPr>
        <w:spacing w:after="150"/>
      </w:pPr>
      <w:r>
        <w:rPr>
          <w:rFonts w:ascii="Consolas" w:cs="Consolas" w:eastAsia="Consolas" w:hAnsi="Consolas"/>
          <w:i/>
          <w:iCs/>
        </w:rPr>
        <w:t xml:space="preserve">Progression (%) = (Moyenne nationale − Ratio de la structure) ÷ (Moyenne nationale − Objectif 2050) × 100, plafonnée entre 0% (structure au niveau ou au-dessus de la moyenne nationale) et 100% (structure à l'objectif 2050 ou mieux).</w:t>
      </w:r>
    </w:p>
    <w:p>
      <w:pPr>
        <w:pStyle w:val="Heading1"/>
        <w:spacing w:after="200" w:before="400"/>
      </w:pPr>
      <w:r>
        <w:t xml:space="preserve">7. Limites connues (dette méthodologique assumée)</w:t>
      </w:r>
    </w:p>
    <w:p>
      <w:pPr>
        <w:pStyle w:val="ListParagraph"/>
        <w:numPr>
          <w:ilvl w:val="0"/>
          <w:numId w:val="1"/>
        </w:numPr>
        <w:spacing w:after="80"/>
      </w:pPr>
      <w:r>
        <w:t xml:space="preserve">Ratios monétaires (services intellectuels) — incertitude intrinsèquement élevée pour ce type de facteur ; la méthode Bilan Carbone® déconseille elle-même son usage générique.</w:t>
      </w:r>
    </w:p>
    <w:p>
      <w:pPr>
        <w:pStyle w:val="ListParagraph"/>
        <w:numPr>
          <w:ilvl w:val="0"/>
          <w:numId w:val="1"/>
        </w:numPr>
        <w:spacing w:after="80"/>
      </w:pPr>
      <w:r>
        <w:t xml:space="preserve">Facteurs numériques (écran, ordinateur fixe) — valeurs archivées dans la Base Carbone, retenues à leur valeur la plus haute par choix de prudence, mais avec une incertitude de fond significative (facteur ×3 à ×6 selon la génération et la taille).</w:t>
      </w:r>
    </w:p>
    <w:p>
      <w:pPr>
        <w:pStyle w:val="ListParagraph"/>
        <w:numPr>
          <w:ilvl w:val="0"/>
          <w:numId w:val="1"/>
        </w:numPr>
        <w:spacing w:after="80"/>
      </w:pPr>
      <w:r>
        <w:t xml:space="preserve">Zonage géographique — environ 50% des communes françaises (en nombre, pas en population) sont approximées faute d'équivalent direct dans les 12 zones du Tableau 15 kinéCO2.</w:t>
      </w:r>
    </w:p>
    <w:p>
      <w:pPr>
        <w:pStyle w:val="ListParagraph"/>
        <w:numPr>
          <w:ilvl w:val="0"/>
          <w:numId w:val="1"/>
        </w:numPr>
        <w:spacing w:after="80"/>
      </w:pPr>
      <w:r>
        <w:t xml:space="preserve">Motif santé non isolable dans l'EMP2019 — santé et juridique partagent le même proxy de motif de déplacement ("Autres motifs personnels").</w:t>
      </w:r>
    </w:p>
    <w:p>
      <w:pPr>
        <w:pStyle w:val="ListParagraph"/>
        <w:numPr>
          <w:ilvl w:val="0"/>
          <w:numId w:val="1"/>
        </w:numPr>
        <w:spacing w:after="80"/>
      </w:pPr>
      <w:r>
        <w:t xml:space="preserve">Choix systématique de la valeur la plus élevée en cas de facteurs multiples candidats — défendable comme principe de prudence (éviter la sous-estimation), mais introduit un biais haussier assumé sur plusieurs facteurs (bus, réseau de chaleur, bois, écran, ordinateur fixe, services intellectuels).</w:t>
      </w:r>
    </w:p>
    <w:p>
      <w:pPr>
        <w:pStyle w:val="ListParagraph"/>
        <w:numPr>
          <w:ilvl w:val="0"/>
          <w:numId w:val="1"/>
        </w:numPr>
        <w:spacing w:after="80"/>
      </w:pPr>
      <w:r>
        <w:t xml:space="preserve">Hypothèse "3 actes NABM par passage en laboratoire" (indicateur de dépendance fossile) — non sourcée précisément, fondée sur la connaissance générale de la nomenclature biologique.</w:t>
      </w:r>
    </w:p>
    <w:p>
      <w:pPr>
        <w:pStyle w:val="ListParagraph"/>
        <w:numPr>
          <w:ilvl w:val="0"/>
          <w:numId w:val="1"/>
        </w:numPr>
        <w:spacing w:after="80"/>
      </w:pPr>
      <w:r>
        <w:t xml:space="preserve">Décote 2050 "sans prévention" appliquée au ratio médecine de ville — calculée sur l'ensemble du secteur santé, pas isolée pour la médecine de ville spécifiquement.</w:t>
      </w:r>
    </w:p>
    <w:p>
      <w:pPr>
        <w:pStyle w:val="ListParagraph"/>
        <w:numPr>
          <w:ilvl w:val="0"/>
          <w:numId w:val="1"/>
        </w:numPr>
        <w:spacing w:after="80"/>
      </w:pPr>
      <w:r>
        <w:t xml:space="preserve">Potentiels de réduction des actions de décarbonation — le fait physique cité est généralement sourcé, mais la part du poste concerné (maxReduction) reste une hypothèse éditoriale ajustable par curseur dans l'outil.</w:t>
      </w:r>
    </w:p>
    <w:p>
      <w:pPr>
        <w:pStyle w:val="ListParagraph"/>
        <w:numPr>
          <w:ilvl w:val="0"/>
          <w:numId w:val="1"/>
        </w:numPr>
        <w:spacing w:after="80"/>
      </w:pPr>
      <w:r>
        <w:t xml:space="preserve">Prototype non audité réglementairement — à ne jamais présenter comme un bilan carbone opposable (BEGES) ou dans une démarche de certification.</w:t>
      </w:r>
    </w:p>
    <w:p>
      <w:pPr>
        <w:pStyle w:val="Heading1"/>
        <w:spacing w:after="200" w:before="400"/>
      </w:pPr>
      <w:r>
        <w:t xml:space="preserve">8. Historique des révisions majeures</w:t>
      </w:r>
    </w:p>
    <w:p>
      <w:pPr>
        <w:pStyle w:val="ListParagraph"/>
        <w:numPr>
          <w:ilvl w:val="0"/>
          <w:numId w:val="1"/>
        </w:numPr>
        <w:spacing w:after="80"/>
      </w:pPr>
      <w:r>
        <w:t xml:space="preserve">Cadrage initial : généralisation de kinéCO2 à une structure pluriprofessionnelle, calcul par praticien, réventilation local/postes mutualisés.</w:t>
      </w:r>
    </w:p>
    <w:p>
      <w:pPr>
        <w:pStyle w:val="ListParagraph"/>
        <w:numPr>
          <w:ilvl w:val="0"/>
          <w:numId w:val="1"/>
        </w:numPr>
        <w:spacing w:after="80"/>
      </w:pPr>
      <w:r>
        <w:t xml:space="preserve">Audit de sourcing complet : recherche croisée Base Carbone ADEME V23.10 pour requalifier la majorité des facteurs ESTIMÉ en SOURCÉ.</w:t>
      </w:r>
    </w:p>
    <w:p>
      <w:pPr>
        <w:pStyle w:val="ListParagraph"/>
        <w:numPr>
          <w:ilvl w:val="0"/>
          <w:numId w:val="1"/>
        </w:numPr>
        <w:spacing w:after="80"/>
      </w:pPr>
      <w:r>
        <w:t xml:space="preserve">Recherche méthodologique approfondie (Shift Project + CNAM/Ameli) pour fonder l'indicateur de dépendance aux énergies fossiles sur une moyenne nationale et un objectif 2050 sourcés, plutôt qu'un seuil arbitraire.</w:t>
      </w:r>
    </w:p>
    <w:p>
      <w:pPr>
        <w:pStyle w:val="ListParagraph"/>
        <w:numPr>
          <w:ilvl w:val="0"/>
          <w:numId w:val="1"/>
        </w:numPr>
        <w:spacing w:after="80"/>
      </w:pPr>
      <w:r>
        <w:t xml:space="preserve">Ajout du partage volontaire de résultats vers un tableau de bord comparatif (opt-in, anonymisé, consentement tracé).</w:t>
      </w:r>
    </w:p>
    <w:p>
      <w:pPr>
        <w:pStyle w:val="ListParagraph"/>
        <w:numPr>
          <w:ilvl w:val="0"/>
          <w:numId w:val="1"/>
        </w:numPr>
        <w:spacing w:after="80"/>
      </w:pPr>
      <w:r>
        <w:t xml:space="preserve">Ajout du document de plan de décarbonation téléchargeable (format RTF, éditable), généré depuis l'écran Pistes d'action.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B2B26"/>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00" w:before="400"/>
    </w:pPr>
    <w:rPr>
      <w:rFonts w:ascii="Calibri" w:cs="Calibri" w:eastAsia="Calibri" w:hAnsi="Calibri"/>
      <w:b/>
      <w:bCs/>
      <w:color w:val="0071C1"/>
      <w:sz w:val="32"/>
      <w:szCs w:val="32"/>
    </w:rPr>
  </w:style>
  <w:style w:type="paragraph" w:styleId="Heading2">
    <w:name w:val="Heading 2"/>
    <w:basedOn w:val="Normal"/>
    <w:next w:val="Normal"/>
    <w:qFormat/>
    <w:pPr>
      <w:spacing w:after="150" w:before="300"/>
    </w:pPr>
    <w:rPr>
      <w:rFonts w:ascii="Calibri" w:cs="Calibri" w:eastAsia="Calibri" w:hAnsi="Calibri"/>
      <w:b/>
      <w:bCs/>
      <w:color w:val="2E673E"/>
      <w:sz w:val="26"/>
      <w:szCs w:val="26"/>
    </w:rPr>
  </w:style>
  <w:style w:type="paragraph" w:styleId="Heading3">
    <w:name w:val="Heading 3"/>
    <w:basedOn w:val="Normal"/>
    <w:next w:val="Normal"/>
    <w:qFormat/>
    <w:pPr>
      <w:spacing w:after="100" w:before="200"/>
    </w:pPr>
    <w:rPr>
      <w:rFonts w:ascii="Calibri" w:cs="Calibri" w:eastAsia="Calibri" w:hAnsi="Calibri"/>
      <w:b/>
      <w:bCs/>
      <w:color w:val="1B2B26"/>
      <w:sz w:val="23"/>
      <w:szCs w:val="23"/>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2026-08-26T05:23:54.713Z</dcterms:created>
  <dcterms:modified xsi:type="dcterms:W3CDTF">2026-08-26T05:23:54.713Z</dcterms:modified>
</cp:coreProperties>
</file>

<file path=docProps/custom.xml><?xml version="1.0" encoding="utf-8"?>
<Properties xmlns="http://schemas.openxmlformats.org/officeDocument/2006/custom-properties" xmlns:vt="http://schemas.openxmlformats.org/officeDocument/2006/docPropsVTypes"/>
</file>